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B" w:rsidRPr="00C35616" w:rsidRDefault="002D48FB" w:rsidP="00BD7AD8">
      <w:pPr>
        <w:pStyle w:val="Nzev"/>
        <w:jc w:val="left"/>
        <w:rPr>
          <w:sz w:val="24"/>
          <w:szCs w:val="24"/>
        </w:rPr>
      </w:pPr>
    </w:p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na </w:t>
      </w:r>
      <w:r w:rsidR="00CA378B" w:rsidRPr="00CB2F55">
        <w:rPr>
          <w:rFonts w:ascii="Arial" w:hAnsi="Arial" w:cs="Arial"/>
          <w:sz w:val="24"/>
          <w:szCs w:val="24"/>
          <w:u w:val="single"/>
        </w:rPr>
        <w:t xml:space="preserve">dodávku </w:t>
      </w:r>
      <w:r w:rsidR="00F4338B" w:rsidRPr="00CB2F55">
        <w:rPr>
          <w:rFonts w:ascii="Arial" w:hAnsi="Arial" w:cs="Arial"/>
          <w:sz w:val="24"/>
          <w:szCs w:val="24"/>
          <w:u w:val="single"/>
        </w:rPr>
        <w:t>tonerů</w:t>
      </w:r>
      <w:r w:rsidR="0002211E" w:rsidRPr="00CB2F55">
        <w:rPr>
          <w:rFonts w:ascii="Arial" w:hAnsi="Arial" w:cs="Arial"/>
          <w:sz w:val="24"/>
          <w:szCs w:val="24"/>
          <w:u w:val="single"/>
        </w:rPr>
        <w:t>,</w:t>
      </w:r>
      <w:r w:rsidR="00E00185" w:rsidRPr="00CB2F55">
        <w:rPr>
          <w:rFonts w:ascii="Arial" w:hAnsi="Arial" w:cs="Arial"/>
          <w:sz w:val="24"/>
          <w:szCs w:val="24"/>
          <w:u w:val="single"/>
        </w:rPr>
        <w:t xml:space="preserve"> náplní a dalšího </w:t>
      </w:r>
      <w:r w:rsidR="00E773AD" w:rsidRPr="00CB2F55">
        <w:rPr>
          <w:rFonts w:ascii="Arial" w:hAnsi="Arial" w:cs="Arial"/>
          <w:sz w:val="24"/>
          <w:szCs w:val="24"/>
          <w:u w:val="single"/>
        </w:rPr>
        <w:t>spotřebního</w:t>
      </w:r>
      <w:r w:rsidR="00E00185" w:rsidRPr="00CB2F55">
        <w:rPr>
          <w:rFonts w:ascii="Arial" w:hAnsi="Arial" w:cs="Arial"/>
          <w:sz w:val="24"/>
          <w:szCs w:val="24"/>
          <w:u w:val="single"/>
        </w:rPr>
        <w:t xml:space="preserve"> materiálu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Mendelova univerzita v Brně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Zemědělská 1665/1, 613 00 Brno</w:t>
      </w:r>
    </w:p>
    <w:p w:rsidR="00FC2A68" w:rsidRPr="00CB2F55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IČ</w:t>
      </w:r>
      <w:r w:rsidR="006354B5" w:rsidRPr="00CB2F55">
        <w:rPr>
          <w:rFonts w:ascii="Arial" w:hAnsi="Arial" w:cs="Arial"/>
          <w:b w:val="0"/>
          <w:sz w:val="22"/>
          <w:szCs w:val="22"/>
        </w:rPr>
        <w:t>O</w:t>
      </w:r>
      <w:r w:rsidRPr="00CB2F55">
        <w:rPr>
          <w:rFonts w:ascii="Arial" w:hAnsi="Arial" w:cs="Arial"/>
          <w:b w:val="0"/>
          <w:sz w:val="22"/>
          <w:szCs w:val="22"/>
        </w:rPr>
        <w:t xml:space="preserve">: </w:t>
      </w:r>
      <w:r w:rsidR="00D7629D" w:rsidRPr="00CB2F55">
        <w:rPr>
          <w:rFonts w:ascii="Arial" w:hAnsi="Arial" w:cs="Arial"/>
          <w:b w:val="0"/>
          <w:sz w:val="22"/>
          <w:szCs w:val="22"/>
        </w:rPr>
        <w:t>62156489</w:t>
      </w:r>
      <w:r w:rsidR="00F16E18" w:rsidRPr="00CB2F55">
        <w:rPr>
          <w:rFonts w:ascii="Arial" w:hAnsi="Arial" w:cs="Arial"/>
          <w:b w:val="0"/>
          <w:sz w:val="22"/>
          <w:szCs w:val="22"/>
        </w:rPr>
        <w:tab/>
      </w:r>
      <w:r w:rsidRPr="00CB2F55">
        <w:rPr>
          <w:rFonts w:ascii="Arial" w:hAnsi="Arial" w:cs="Arial"/>
          <w:b w:val="0"/>
          <w:sz w:val="22"/>
          <w:szCs w:val="22"/>
        </w:rPr>
        <w:t xml:space="preserve">DIČ: </w:t>
      </w:r>
      <w:r w:rsidR="00D7629D" w:rsidRPr="00CB2F55">
        <w:rPr>
          <w:rFonts w:ascii="Arial" w:hAnsi="Arial" w:cs="Arial"/>
          <w:b w:val="0"/>
          <w:sz w:val="22"/>
          <w:szCs w:val="22"/>
        </w:rPr>
        <w:t>CZ 62156489</w:t>
      </w:r>
    </w:p>
    <w:p w:rsidR="00FC2A68" w:rsidRPr="00CB2F55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Bankovní spojení:</w:t>
      </w:r>
      <w:r w:rsidR="00D7629D" w:rsidRPr="00CB2F55">
        <w:rPr>
          <w:rFonts w:ascii="Arial" w:hAnsi="Arial" w:cs="Arial"/>
          <w:b w:val="0"/>
          <w:sz w:val="22"/>
          <w:szCs w:val="22"/>
        </w:rPr>
        <w:t xml:space="preserve"> Komerční banka, a.s.</w:t>
      </w:r>
      <w:r w:rsidR="00CB2F55">
        <w:rPr>
          <w:rFonts w:ascii="Arial" w:hAnsi="Arial" w:cs="Arial"/>
          <w:b w:val="0"/>
          <w:sz w:val="22"/>
          <w:szCs w:val="22"/>
        </w:rPr>
        <w:t xml:space="preserve">, </w:t>
      </w:r>
      <w:r w:rsidRPr="00CB2F55">
        <w:rPr>
          <w:rFonts w:ascii="Arial" w:hAnsi="Arial" w:cs="Arial"/>
          <w:b w:val="0"/>
          <w:sz w:val="22"/>
          <w:szCs w:val="22"/>
        </w:rPr>
        <w:t>č.</w:t>
      </w:r>
      <w:r w:rsidR="008576D8"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Pr="00CB2F55">
        <w:rPr>
          <w:rFonts w:ascii="Arial" w:hAnsi="Arial" w:cs="Arial"/>
          <w:b w:val="0"/>
          <w:sz w:val="22"/>
          <w:szCs w:val="22"/>
        </w:rPr>
        <w:t xml:space="preserve">ú.: </w:t>
      </w:r>
      <w:r w:rsidR="00D7629D" w:rsidRPr="00CB2F55">
        <w:rPr>
          <w:rFonts w:ascii="Arial" w:hAnsi="Arial" w:cs="Arial"/>
          <w:b w:val="0"/>
          <w:sz w:val="22"/>
          <w:szCs w:val="22"/>
        </w:rPr>
        <w:t>7200300237/0100</w:t>
      </w:r>
    </w:p>
    <w:p w:rsidR="00FC2A68" w:rsidRPr="00CB2F55" w:rsidRDefault="0086412D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Zastoupena</w:t>
      </w:r>
      <w:r w:rsidR="00FC2A68" w:rsidRPr="00CB2F55">
        <w:rPr>
          <w:rFonts w:ascii="Arial" w:hAnsi="Arial" w:cs="Arial"/>
          <w:sz w:val="22"/>
          <w:szCs w:val="22"/>
        </w:rPr>
        <w:t>:</w:t>
      </w:r>
      <w:r w:rsidR="00D7629D" w:rsidRPr="00CB2F55">
        <w:rPr>
          <w:rFonts w:ascii="Arial" w:hAnsi="Arial" w:cs="Arial"/>
          <w:sz w:val="22"/>
          <w:szCs w:val="22"/>
        </w:rPr>
        <w:t xml:space="preserve"> </w:t>
      </w:r>
      <w:r w:rsidR="00CB2F55" w:rsidRPr="00CB2F55">
        <w:rPr>
          <w:rFonts w:ascii="Arial" w:hAnsi="Arial" w:cs="Arial"/>
          <w:sz w:val="22"/>
          <w:szCs w:val="22"/>
        </w:rPr>
        <w:t>prof. Ing. Danuší Nerudovou, Ph.D., rektorkou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F562BD" w:rsidRPr="00CB2F55">
        <w:rPr>
          <w:rFonts w:ascii="Arial" w:hAnsi="Arial" w:cs="Arial"/>
          <w:b/>
          <w:sz w:val="22"/>
          <w:szCs w:val="22"/>
        </w:rPr>
        <w:t>kupující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157B46" w:rsidRPr="00CB2F55" w:rsidRDefault="00DE6E99" w:rsidP="00157B46">
      <w:pPr>
        <w:pStyle w:val="Nadpis2"/>
        <w:jc w:val="left"/>
        <w:rPr>
          <w:rFonts w:ascii="Arial" w:hAnsi="Arial" w:cs="Arial"/>
          <w:sz w:val="22"/>
          <w:szCs w:val="22"/>
          <w:highlight w:val="yellow"/>
        </w:rPr>
      </w:pPr>
      <w:r w:rsidRPr="00CB2F55">
        <w:rPr>
          <w:rFonts w:ascii="Arial" w:hAnsi="Arial" w:cs="Arial"/>
          <w:sz w:val="22"/>
          <w:szCs w:val="22"/>
          <w:highlight w:val="yellow"/>
        </w:rPr>
        <w:t xml:space="preserve">Prodávající </w:t>
      </w:r>
    </w:p>
    <w:p w:rsidR="00157B46" w:rsidRPr="00CB2F55" w:rsidRDefault="00157B46" w:rsidP="00157B46">
      <w:pPr>
        <w:pStyle w:val="Nadpis2"/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CB2F55">
        <w:rPr>
          <w:rFonts w:ascii="Arial" w:hAnsi="Arial" w:cs="Arial"/>
          <w:b w:val="0"/>
          <w:sz w:val="22"/>
          <w:szCs w:val="22"/>
          <w:highlight w:val="yellow"/>
        </w:rPr>
        <w:t xml:space="preserve">se sídlem </w:t>
      </w:r>
    </w:p>
    <w:p w:rsidR="00157B46" w:rsidRPr="00CB2F55" w:rsidRDefault="00157B46" w:rsidP="00157B46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CB2F55">
        <w:rPr>
          <w:rFonts w:ascii="Arial" w:hAnsi="Arial" w:cs="Arial"/>
          <w:b w:val="0"/>
          <w:sz w:val="22"/>
          <w:szCs w:val="22"/>
          <w:highlight w:val="yellow"/>
        </w:rPr>
        <w:t>IČ</w:t>
      </w:r>
      <w:r w:rsidR="00D65A2C" w:rsidRPr="00CB2F55">
        <w:rPr>
          <w:rFonts w:ascii="Arial" w:hAnsi="Arial" w:cs="Arial"/>
          <w:b w:val="0"/>
          <w:sz w:val="22"/>
          <w:szCs w:val="22"/>
          <w:highlight w:val="yellow"/>
        </w:rPr>
        <w:t>O</w:t>
      </w:r>
      <w:r w:rsidRPr="00CB2F55">
        <w:rPr>
          <w:rFonts w:ascii="Arial" w:hAnsi="Arial" w:cs="Arial"/>
          <w:b w:val="0"/>
          <w:sz w:val="22"/>
          <w:szCs w:val="22"/>
          <w:highlight w:val="yellow"/>
        </w:rPr>
        <w:t xml:space="preserve">: </w:t>
      </w:r>
      <w:r w:rsidRPr="00CB2F55">
        <w:rPr>
          <w:rFonts w:ascii="Arial" w:hAnsi="Arial" w:cs="Arial"/>
          <w:b w:val="0"/>
          <w:sz w:val="22"/>
          <w:szCs w:val="22"/>
          <w:highlight w:val="yellow"/>
        </w:rPr>
        <w:tab/>
        <w:t xml:space="preserve">DIČ: </w:t>
      </w:r>
    </w:p>
    <w:p w:rsidR="00157B46" w:rsidRPr="00CB2F55" w:rsidRDefault="00157B46" w:rsidP="00157B46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CB2F55">
        <w:rPr>
          <w:rFonts w:ascii="Arial" w:hAnsi="Arial" w:cs="Arial"/>
          <w:b w:val="0"/>
          <w:sz w:val="22"/>
          <w:szCs w:val="22"/>
          <w:highlight w:val="yellow"/>
        </w:rPr>
        <w:t>Bankovní spojení:</w:t>
      </w:r>
      <w:r w:rsidRPr="00CB2F55">
        <w:rPr>
          <w:rFonts w:ascii="Arial" w:hAnsi="Arial" w:cs="Arial"/>
          <w:b w:val="0"/>
          <w:sz w:val="22"/>
          <w:szCs w:val="22"/>
          <w:highlight w:val="yellow"/>
        </w:rPr>
        <w:tab/>
        <w:t>č.</w:t>
      </w:r>
      <w:r w:rsidR="008576D8" w:rsidRPr="00CB2F55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Pr="00CB2F55">
        <w:rPr>
          <w:rFonts w:ascii="Arial" w:hAnsi="Arial" w:cs="Arial"/>
          <w:b w:val="0"/>
          <w:sz w:val="22"/>
          <w:szCs w:val="22"/>
          <w:highlight w:val="yellow"/>
        </w:rPr>
        <w:t xml:space="preserve">ú.: </w:t>
      </w:r>
    </w:p>
    <w:p w:rsidR="00C35FC3" w:rsidRPr="00CB2F55" w:rsidRDefault="00157B46" w:rsidP="00157B46">
      <w:pPr>
        <w:rPr>
          <w:rFonts w:ascii="Arial" w:hAnsi="Arial" w:cs="Arial"/>
          <w:sz w:val="22"/>
          <w:szCs w:val="22"/>
          <w:highlight w:val="yellow"/>
        </w:rPr>
      </w:pPr>
      <w:r w:rsidRPr="00CB2F55">
        <w:rPr>
          <w:rFonts w:ascii="Arial" w:hAnsi="Arial" w:cs="Arial"/>
          <w:sz w:val="22"/>
          <w:szCs w:val="22"/>
          <w:highlight w:val="yellow"/>
        </w:rPr>
        <w:t>Jednající:</w:t>
      </w:r>
    </w:p>
    <w:p w:rsidR="00157B46" w:rsidRPr="00CB2F55" w:rsidRDefault="00C35FC3" w:rsidP="00157B46">
      <w:pPr>
        <w:rPr>
          <w:rFonts w:ascii="Arial" w:hAnsi="Arial" w:cs="Arial"/>
          <w:sz w:val="22"/>
          <w:szCs w:val="22"/>
          <w:highlight w:val="yellow"/>
        </w:rPr>
      </w:pPr>
      <w:r w:rsidRPr="00CB2F55">
        <w:rPr>
          <w:rFonts w:ascii="Arial" w:hAnsi="Arial" w:cs="Arial"/>
          <w:sz w:val="22"/>
          <w:szCs w:val="22"/>
          <w:highlight w:val="yellow"/>
        </w:rPr>
        <w:t>Osoba oprávněná jednat ve věcech technických:</w:t>
      </w:r>
      <w:r w:rsidR="00157B46" w:rsidRPr="00CB2F5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57B46" w:rsidRPr="00CB2F55" w:rsidRDefault="001859C7" w:rsidP="00157B46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  <w:highlight w:val="yellow"/>
        </w:rPr>
        <w:t>Kontaktní email</w:t>
      </w:r>
      <w:r w:rsidR="009558DE" w:rsidRPr="00CB2F55">
        <w:rPr>
          <w:rFonts w:ascii="Arial" w:hAnsi="Arial" w:cs="Arial"/>
          <w:sz w:val="22"/>
          <w:szCs w:val="22"/>
          <w:highlight w:val="yellow"/>
        </w:rPr>
        <w:t>: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F562BD" w:rsidRPr="00CB2F55">
        <w:rPr>
          <w:rFonts w:ascii="Arial" w:hAnsi="Arial" w:cs="Arial"/>
          <w:b/>
          <w:sz w:val="22"/>
          <w:szCs w:val="22"/>
        </w:rPr>
        <w:t>prodávající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DE6E99" w:rsidRPr="00CB2F55">
        <w:rPr>
          <w:rFonts w:ascii="Arial" w:hAnsi="Arial" w:cs="Arial"/>
          <w:sz w:val="22"/>
          <w:szCs w:val="22"/>
        </w:rPr>
        <w:t xml:space="preserve">kupujícím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DE6E99" w:rsidRPr="00CB2F55">
        <w:rPr>
          <w:rFonts w:ascii="Arial" w:hAnsi="Arial" w:cs="Arial"/>
          <w:sz w:val="22"/>
          <w:szCs w:val="22"/>
        </w:rPr>
        <w:t xml:space="preserve">prodávajícím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4329BC" w:rsidRPr="00CB2F55">
        <w:rPr>
          <w:rFonts w:ascii="Arial" w:hAnsi="Arial" w:cs="Arial"/>
          <w:sz w:val="22"/>
          <w:szCs w:val="22"/>
        </w:rPr>
        <w:t xml:space="preserve"> -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 a 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 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B0F6C" w:rsidRDefault="0079194F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- dodávkou </w:t>
      </w:r>
      <w:r w:rsidR="009B0F6C" w:rsidRPr="00CB2F55">
        <w:rPr>
          <w:rFonts w:ascii="Arial" w:hAnsi="Arial" w:cs="Arial"/>
          <w:sz w:val="22"/>
          <w:szCs w:val="22"/>
        </w:rPr>
        <w:t xml:space="preserve">se pro účely této </w:t>
      </w:r>
      <w:r w:rsidR="004A2C0A" w:rsidRPr="00CB2F55">
        <w:rPr>
          <w:rFonts w:ascii="Arial" w:hAnsi="Arial" w:cs="Arial"/>
          <w:sz w:val="22"/>
          <w:szCs w:val="22"/>
        </w:rPr>
        <w:t>rámcové dohody</w:t>
      </w:r>
      <w:r w:rsidR="009B0F6C" w:rsidRPr="00CB2F55">
        <w:rPr>
          <w:rFonts w:ascii="Arial" w:hAnsi="Arial" w:cs="Arial"/>
          <w:sz w:val="22"/>
          <w:szCs w:val="22"/>
        </w:rPr>
        <w:t xml:space="preserve"> rozumí vešker</w:t>
      </w:r>
      <w:r w:rsidR="00493E6B">
        <w:rPr>
          <w:rFonts w:ascii="Arial" w:hAnsi="Arial" w:cs="Arial"/>
          <w:sz w:val="22"/>
          <w:szCs w:val="22"/>
        </w:rPr>
        <w:t>é dodávky</w:t>
      </w:r>
      <w:r w:rsidR="009B0F6C" w:rsidRPr="00CB2F55">
        <w:rPr>
          <w:rFonts w:ascii="Arial" w:hAnsi="Arial" w:cs="Arial"/>
          <w:sz w:val="22"/>
          <w:szCs w:val="22"/>
        </w:rPr>
        <w:t xml:space="preserve"> </w:t>
      </w:r>
      <w:r w:rsidR="00675B1C" w:rsidRPr="00CB2F55">
        <w:rPr>
          <w:rFonts w:ascii="Arial" w:hAnsi="Arial" w:cs="Arial"/>
          <w:sz w:val="22"/>
          <w:szCs w:val="22"/>
        </w:rPr>
        <w:t xml:space="preserve">jednotlivých plnění v rozsahu položek </w:t>
      </w:r>
      <w:r w:rsidR="009B0F6C" w:rsidRPr="00CB2F55">
        <w:rPr>
          <w:rFonts w:ascii="Arial" w:hAnsi="Arial" w:cs="Arial"/>
          <w:sz w:val="22"/>
          <w:szCs w:val="22"/>
        </w:rPr>
        <w:t>uveden</w:t>
      </w:r>
      <w:r w:rsidR="00675B1C" w:rsidRPr="00CB2F55">
        <w:rPr>
          <w:rFonts w:ascii="Arial" w:hAnsi="Arial" w:cs="Arial"/>
          <w:sz w:val="22"/>
          <w:szCs w:val="22"/>
        </w:rPr>
        <w:t>ých</w:t>
      </w:r>
      <w:r w:rsidR="009B0F6C" w:rsidRPr="00CB2F55">
        <w:rPr>
          <w:rFonts w:ascii="Arial" w:hAnsi="Arial" w:cs="Arial"/>
          <w:sz w:val="22"/>
          <w:szCs w:val="22"/>
        </w:rPr>
        <w:t xml:space="preserve"> </w:t>
      </w:r>
      <w:r w:rsidR="009B0F6C" w:rsidRPr="00CB2F55">
        <w:rPr>
          <w:rFonts w:ascii="Arial" w:hAnsi="Arial" w:cs="Arial"/>
          <w:sz w:val="22"/>
          <w:szCs w:val="22"/>
          <w:highlight w:val="yellow"/>
        </w:rPr>
        <w:t>v</w:t>
      </w:r>
      <w:r w:rsidR="0097093A" w:rsidRPr="00CB2F55">
        <w:rPr>
          <w:rFonts w:ascii="Arial" w:hAnsi="Arial" w:cs="Arial"/>
          <w:sz w:val="22"/>
          <w:szCs w:val="22"/>
          <w:highlight w:val="yellow"/>
        </w:rPr>
        <w:t> </w:t>
      </w:r>
      <w:r w:rsidR="009B0F6C" w:rsidRPr="00CB2F55">
        <w:rPr>
          <w:rFonts w:ascii="Arial" w:hAnsi="Arial" w:cs="Arial"/>
          <w:sz w:val="22"/>
          <w:szCs w:val="22"/>
          <w:highlight w:val="yellow"/>
        </w:rPr>
        <w:t>příloze</w:t>
      </w:r>
      <w:r w:rsidR="0097093A" w:rsidRPr="00CB2F55">
        <w:rPr>
          <w:rFonts w:ascii="Arial" w:hAnsi="Arial" w:cs="Arial"/>
          <w:sz w:val="22"/>
          <w:szCs w:val="22"/>
          <w:highlight w:val="yellow"/>
        </w:rPr>
        <w:t>/přílohách</w:t>
      </w:r>
      <w:r w:rsidR="009B0F6C" w:rsidRPr="00CB2F55">
        <w:rPr>
          <w:rFonts w:ascii="Arial" w:hAnsi="Arial" w:cs="Arial"/>
          <w:sz w:val="22"/>
          <w:szCs w:val="22"/>
          <w:highlight w:val="yellow"/>
        </w:rPr>
        <w:t xml:space="preserve"> č. 1</w:t>
      </w:r>
      <w:r w:rsidR="0097093A" w:rsidRPr="00CB2F55">
        <w:rPr>
          <w:rFonts w:ascii="Arial" w:hAnsi="Arial" w:cs="Arial"/>
          <w:sz w:val="22"/>
          <w:szCs w:val="22"/>
          <w:highlight w:val="yellow"/>
        </w:rPr>
        <w:t xml:space="preserve"> – 6 </w:t>
      </w:r>
      <w:r w:rsidR="0097093A" w:rsidRPr="00275C1E">
        <w:rPr>
          <w:rFonts w:ascii="Arial" w:hAnsi="Arial" w:cs="Arial"/>
          <w:i/>
          <w:sz w:val="22"/>
          <w:szCs w:val="22"/>
          <w:highlight w:val="yellow"/>
        </w:rPr>
        <w:t>(</w:t>
      </w:r>
      <w:r w:rsidR="007038CD" w:rsidRPr="00275C1E">
        <w:rPr>
          <w:rFonts w:ascii="Arial" w:hAnsi="Arial" w:cs="Arial"/>
          <w:i/>
          <w:sz w:val="22"/>
          <w:szCs w:val="22"/>
          <w:highlight w:val="yellow"/>
        </w:rPr>
        <w:t xml:space="preserve">přílohy </w:t>
      </w:r>
      <w:r w:rsidR="0097093A" w:rsidRPr="00275C1E">
        <w:rPr>
          <w:rFonts w:ascii="Arial" w:hAnsi="Arial" w:cs="Arial"/>
          <w:i/>
          <w:sz w:val="22"/>
          <w:szCs w:val="22"/>
          <w:highlight w:val="yellow"/>
        </w:rPr>
        <w:t xml:space="preserve">uvede </w:t>
      </w:r>
      <w:r w:rsidR="00A20C64" w:rsidRPr="00275C1E">
        <w:rPr>
          <w:rFonts w:ascii="Arial" w:hAnsi="Arial" w:cs="Arial"/>
          <w:i/>
          <w:sz w:val="22"/>
          <w:szCs w:val="22"/>
          <w:highlight w:val="yellow"/>
        </w:rPr>
        <w:t>dodavatel</w:t>
      </w:r>
      <w:r w:rsidR="0097093A" w:rsidRPr="00275C1E">
        <w:rPr>
          <w:rFonts w:ascii="Arial" w:hAnsi="Arial" w:cs="Arial"/>
          <w:i/>
          <w:sz w:val="22"/>
          <w:szCs w:val="22"/>
          <w:highlight w:val="yellow"/>
        </w:rPr>
        <w:t xml:space="preserve"> podle skutečnosti – dle toho, na které části veřejné zakázky podává nabídku</w:t>
      </w:r>
      <w:r w:rsidR="00275C1E" w:rsidRPr="00275C1E">
        <w:rPr>
          <w:rFonts w:ascii="Arial" w:hAnsi="Arial" w:cs="Arial"/>
          <w:i/>
          <w:sz w:val="22"/>
          <w:szCs w:val="22"/>
          <w:highlight w:val="yellow"/>
        </w:rPr>
        <w:t>, poté tuto poznámku z textu odstraní</w:t>
      </w:r>
      <w:r w:rsidR="0097093A" w:rsidRPr="00275C1E">
        <w:rPr>
          <w:rFonts w:ascii="Arial" w:hAnsi="Arial" w:cs="Arial"/>
          <w:i/>
          <w:sz w:val="22"/>
          <w:szCs w:val="22"/>
          <w:highlight w:val="yellow"/>
        </w:rPr>
        <w:t>)</w:t>
      </w:r>
      <w:r w:rsidR="009B0F6C" w:rsidRPr="00CB2F5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B0F6C" w:rsidRPr="00CB2F55">
        <w:rPr>
          <w:rFonts w:ascii="Arial" w:hAnsi="Arial" w:cs="Arial"/>
          <w:sz w:val="22"/>
          <w:szCs w:val="22"/>
        </w:rPr>
        <w:t>která je</w:t>
      </w:r>
      <w:r w:rsidR="0097093A" w:rsidRPr="00CB2F55">
        <w:rPr>
          <w:rFonts w:ascii="Arial" w:hAnsi="Arial" w:cs="Arial"/>
          <w:sz w:val="22"/>
          <w:szCs w:val="22"/>
        </w:rPr>
        <w:t>/které jsou</w:t>
      </w:r>
      <w:r w:rsidR="009B0F6C" w:rsidRPr="00CB2F55">
        <w:rPr>
          <w:rFonts w:ascii="Arial" w:hAnsi="Arial" w:cs="Arial"/>
          <w:sz w:val="22"/>
          <w:szCs w:val="22"/>
        </w:rPr>
        <w:t xml:space="preserve"> nedílnou součástí</w:t>
      </w:r>
      <w:r w:rsidR="0097093A" w:rsidRPr="00CB2F55">
        <w:rPr>
          <w:rFonts w:ascii="Arial" w:hAnsi="Arial" w:cs="Arial"/>
          <w:sz w:val="22"/>
          <w:szCs w:val="22"/>
        </w:rPr>
        <w:t>/nedílnými součástmi</w:t>
      </w:r>
      <w:r w:rsidR="009B0F6C" w:rsidRPr="00CB2F55">
        <w:rPr>
          <w:rFonts w:ascii="Arial" w:hAnsi="Arial" w:cs="Arial"/>
          <w:sz w:val="22"/>
          <w:szCs w:val="22"/>
        </w:rPr>
        <w:t xml:space="preserve"> této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="009B0F6C" w:rsidRPr="00CB2F55">
        <w:rPr>
          <w:rFonts w:ascii="Arial" w:hAnsi="Arial" w:cs="Arial"/>
          <w:sz w:val="22"/>
          <w:szCs w:val="22"/>
        </w:rPr>
        <w:t>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DE6E99" w:rsidRPr="00CB2F55">
        <w:rPr>
          <w:rFonts w:ascii="Arial" w:hAnsi="Arial" w:cs="Arial"/>
          <w:sz w:val="22"/>
          <w:szCs w:val="22"/>
        </w:rPr>
        <w:t xml:space="preserve">kupující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r w:rsidR="00B3369C" w:rsidRPr="00CB2F55">
        <w:rPr>
          <w:rFonts w:ascii="Arial" w:hAnsi="Arial" w:cs="Arial"/>
          <w:sz w:val="22"/>
          <w:szCs w:val="22"/>
        </w:rPr>
        <w:t xml:space="preserve">ust.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B61D74" w:rsidRPr="00CB2F55">
        <w:rPr>
          <w:rFonts w:ascii="Arial" w:hAnsi="Arial" w:cs="Arial"/>
          <w:sz w:val="22"/>
          <w:szCs w:val="22"/>
        </w:rPr>
        <w:t>kupujícího</w:t>
      </w:r>
    </w:p>
    <w:p w:rsidR="000C60CA" w:rsidRDefault="00FF4680" w:rsidP="00D04F9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jednotlivá </w:t>
      </w:r>
      <w:r w:rsidR="00BD0589" w:rsidRPr="00CB2F55">
        <w:rPr>
          <w:rFonts w:ascii="Arial" w:hAnsi="Arial" w:cs="Arial"/>
          <w:sz w:val="22"/>
          <w:szCs w:val="22"/>
        </w:rPr>
        <w:t>místa plnění</w:t>
      </w:r>
      <w:r w:rsidR="00103B9E" w:rsidRPr="00CB2F55">
        <w:rPr>
          <w:rFonts w:ascii="Arial" w:hAnsi="Arial" w:cs="Arial"/>
          <w:sz w:val="22"/>
          <w:szCs w:val="22"/>
        </w:rPr>
        <w:t xml:space="preserve"> a jednotlivé rozsahy pro daná místa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DE6E99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Kupující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Pr="00CB2F55">
        <w:rPr>
          <w:rFonts w:ascii="Arial" w:hAnsi="Arial" w:cs="Arial"/>
          <w:sz w:val="22"/>
          <w:szCs w:val="22"/>
        </w:rPr>
        <w:t xml:space="preserve">prodávajícího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 w:rsidRPr="00CB2F55">
        <w:rPr>
          <w:rFonts w:ascii="Arial" w:hAnsi="Arial" w:cs="Arial"/>
          <w:sz w:val="22"/>
          <w:szCs w:val="22"/>
        </w:rPr>
        <w:t xml:space="preserve">Prodávající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392A0C" w:rsidRDefault="00392A0C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Za písemnou výzvu k poskytnutí plnění dle zák</w:t>
      </w:r>
      <w:r w:rsidR="00141715" w:rsidRPr="00CB2F55">
        <w:rPr>
          <w:rFonts w:ascii="Arial" w:hAnsi="Arial" w:cs="Arial"/>
          <w:sz w:val="22"/>
          <w:szCs w:val="22"/>
        </w:rPr>
        <w:t xml:space="preserve">ona </w:t>
      </w:r>
      <w:r w:rsidR="00A17FF7" w:rsidRPr="00CB2F55">
        <w:rPr>
          <w:rFonts w:ascii="Arial" w:hAnsi="Arial" w:cs="Arial"/>
          <w:sz w:val="22"/>
          <w:szCs w:val="22"/>
        </w:rPr>
        <w:t xml:space="preserve">je </w:t>
      </w:r>
      <w:r w:rsidRPr="00CB2F55">
        <w:rPr>
          <w:rFonts w:ascii="Arial" w:hAnsi="Arial" w:cs="Arial"/>
          <w:sz w:val="22"/>
          <w:szCs w:val="22"/>
        </w:rPr>
        <w:t xml:space="preserve">považována také objednávka vystavená </w:t>
      </w:r>
      <w:r w:rsidR="00DE6E99" w:rsidRPr="00CB2F55">
        <w:rPr>
          <w:rFonts w:ascii="Arial" w:hAnsi="Arial" w:cs="Arial"/>
          <w:sz w:val="22"/>
          <w:szCs w:val="22"/>
        </w:rPr>
        <w:t xml:space="preserve">kupujícím </w:t>
      </w:r>
      <w:r w:rsidRPr="00CB2F55">
        <w:rPr>
          <w:rFonts w:ascii="Arial" w:hAnsi="Arial" w:cs="Arial"/>
          <w:sz w:val="22"/>
          <w:szCs w:val="22"/>
        </w:rPr>
        <w:t xml:space="preserve">v systému SAP a odeslaná </w:t>
      </w:r>
      <w:r w:rsidR="00141715" w:rsidRPr="00CB2F55">
        <w:rPr>
          <w:rFonts w:ascii="Arial" w:hAnsi="Arial" w:cs="Arial"/>
          <w:sz w:val="22"/>
          <w:szCs w:val="22"/>
        </w:rPr>
        <w:t xml:space="preserve">vybranému </w:t>
      </w:r>
      <w:r w:rsidR="00DE6E99" w:rsidRPr="00CB2F55">
        <w:rPr>
          <w:rFonts w:ascii="Arial" w:hAnsi="Arial" w:cs="Arial"/>
          <w:sz w:val="22"/>
          <w:szCs w:val="22"/>
        </w:rPr>
        <w:t>prodávajícímu</w:t>
      </w:r>
      <w:r w:rsidRPr="00CB2F55">
        <w:rPr>
          <w:rFonts w:ascii="Arial" w:hAnsi="Arial" w:cs="Arial"/>
          <w:sz w:val="22"/>
          <w:szCs w:val="22"/>
        </w:rPr>
        <w:t>, který ji potvrdí.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DE6E99" w:rsidRPr="00CB2F55">
        <w:rPr>
          <w:rFonts w:ascii="Arial" w:hAnsi="Arial" w:cs="Arial"/>
          <w:sz w:val="22"/>
          <w:szCs w:val="22"/>
        </w:rPr>
        <w:t xml:space="preserve">prodávajícímu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DE6E99" w:rsidRPr="00CB2F55">
        <w:rPr>
          <w:rFonts w:ascii="Arial" w:hAnsi="Arial" w:cs="Arial"/>
          <w:sz w:val="22"/>
          <w:szCs w:val="22"/>
        </w:rPr>
        <w:t xml:space="preserve">Prodávající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DE6E99" w:rsidRPr="00CB2F55">
        <w:rPr>
          <w:rFonts w:ascii="Arial" w:hAnsi="Arial" w:cs="Arial"/>
          <w:sz w:val="22"/>
          <w:szCs w:val="22"/>
        </w:rPr>
        <w:t>prodávajícího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DE6E99" w:rsidRPr="00CB2F55">
        <w:rPr>
          <w:rFonts w:ascii="Arial" w:hAnsi="Arial" w:cs="Arial"/>
          <w:sz w:val="22"/>
          <w:szCs w:val="22"/>
        </w:rPr>
        <w:t>prodávajícího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 xml:space="preserve">další dokumenty požadované </w:t>
      </w:r>
      <w:r w:rsidR="00DE6E99" w:rsidRPr="00CB2F55">
        <w:rPr>
          <w:rFonts w:ascii="Arial" w:hAnsi="Arial" w:cs="Arial"/>
          <w:sz w:val="22"/>
          <w:szCs w:val="22"/>
        </w:rPr>
        <w:t>kupujícím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BF6662" w:rsidRPr="00CB2F55" w:rsidRDefault="00B61D74" w:rsidP="00D04F91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Prodávající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F93002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objednávkách </w:t>
      </w:r>
      <w:r w:rsidR="00B61D74" w:rsidRPr="00CB2F55">
        <w:rPr>
          <w:rFonts w:ascii="Arial" w:hAnsi="Arial" w:cs="Arial"/>
          <w:sz w:val="22"/>
          <w:szCs w:val="22"/>
        </w:rPr>
        <w:t xml:space="preserve">kupujícího </w:t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B61D74" w:rsidRPr="00CB2F55">
        <w:rPr>
          <w:rFonts w:ascii="Arial" w:hAnsi="Arial" w:cs="Arial"/>
          <w:sz w:val="22"/>
          <w:szCs w:val="22"/>
        </w:rPr>
        <w:t>prodávajícího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93E6B" w:rsidRDefault="00493E6B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93E6B" w:rsidRPr="00CB2F55" w:rsidRDefault="00493E6B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FC2A68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nabídce uvedená cena </w:t>
      </w:r>
      <w:r w:rsidR="00493E6B">
        <w:rPr>
          <w:rFonts w:ascii="Arial" w:hAnsi="Arial" w:cs="Arial"/>
          <w:sz w:val="22"/>
          <w:szCs w:val="22"/>
        </w:rPr>
        <w:t>spotřební materiál</w:t>
      </w:r>
      <w:r w:rsidRPr="00CB2F55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CB2F55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CB2F55">
        <w:rPr>
          <w:rFonts w:ascii="Arial" w:hAnsi="Arial" w:cs="Arial"/>
          <w:sz w:val="22"/>
          <w:szCs w:val="22"/>
        </w:rPr>
        <w:t xml:space="preserve"> </w:t>
      </w:r>
      <w:r w:rsidR="00F93002" w:rsidRPr="00CB2F55">
        <w:rPr>
          <w:rFonts w:ascii="Arial" w:hAnsi="Arial" w:cs="Arial"/>
          <w:sz w:val="22"/>
          <w:szCs w:val="22"/>
        </w:rPr>
        <w:t>předmětu plnění</w:t>
      </w:r>
      <w:r w:rsidRPr="00CB2F55">
        <w:rPr>
          <w:rFonts w:ascii="Arial" w:hAnsi="Arial" w:cs="Arial"/>
          <w:sz w:val="22"/>
          <w:szCs w:val="22"/>
        </w:rPr>
        <w:t xml:space="preserve">. Na dodatečné požadavky </w:t>
      </w:r>
      <w:r w:rsidR="00DE6E99" w:rsidRPr="00CB2F55">
        <w:rPr>
          <w:rFonts w:ascii="Arial" w:hAnsi="Arial" w:cs="Arial"/>
          <w:sz w:val="22"/>
          <w:szCs w:val="22"/>
        </w:rPr>
        <w:t xml:space="preserve">prodávajícího </w:t>
      </w:r>
      <w:r w:rsidRPr="00CB2F55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DE6E99" w:rsidRPr="00CB2F55">
        <w:rPr>
          <w:rFonts w:ascii="Arial" w:hAnsi="Arial" w:cs="Arial"/>
          <w:sz w:val="22"/>
          <w:szCs w:val="22"/>
        </w:rPr>
        <w:t xml:space="preserve">Prodávající </w:t>
      </w:r>
      <w:r w:rsidR="00B61D74" w:rsidRPr="00CB2F55">
        <w:rPr>
          <w:rFonts w:ascii="Arial" w:hAnsi="Arial" w:cs="Arial"/>
          <w:sz w:val="22"/>
          <w:szCs w:val="22"/>
        </w:rPr>
        <w:t xml:space="preserve">nemá </w:t>
      </w:r>
      <w:r w:rsidRPr="00CB2F55">
        <w:rPr>
          <w:rFonts w:ascii="Arial" w:hAnsi="Arial" w:cs="Arial"/>
          <w:sz w:val="22"/>
          <w:szCs w:val="22"/>
        </w:rPr>
        <w:t>právo na jejich úhradu.</w:t>
      </w:r>
    </w:p>
    <w:p w:rsidR="00493E6B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93E6B" w:rsidRDefault="00493E6B" w:rsidP="00D3791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93E6B">
        <w:rPr>
          <w:rFonts w:ascii="Arial" w:hAnsi="Arial" w:cs="Arial"/>
          <w:sz w:val="22"/>
          <w:szCs w:val="22"/>
        </w:rPr>
        <w:t xml:space="preserve">Cena za jednotlivá plnění bude stanovena za skutečně poskytnuté plnění a to v souladu s cenou za příslušnou položku dle položkového ceníku dodavatele; cena musí odpovídat technické specifikaci a nesmí překročit cenu v položkovému ceníku, jež je Přílohou č. 1 dohody.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Ceny uvedené </w:t>
      </w:r>
      <w:r w:rsidR="00B61D74" w:rsidRPr="00CB2F55">
        <w:rPr>
          <w:rFonts w:ascii="Arial" w:hAnsi="Arial" w:cs="Arial"/>
          <w:sz w:val="22"/>
          <w:szCs w:val="22"/>
        </w:rPr>
        <w:t xml:space="preserve">prodávajícím </w:t>
      </w:r>
      <w:r w:rsidRPr="00CB2F55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CB2F55">
        <w:rPr>
          <w:rFonts w:ascii="Arial" w:hAnsi="Arial" w:cs="Arial"/>
          <w:sz w:val="22"/>
          <w:szCs w:val="22"/>
        </w:rPr>
        <w:t xml:space="preserve"> po celou dobu trvání rámcové </w:t>
      </w:r>
      <w:r w:rsidR="0092322D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CB2F55">
        <w:rPr>
          <w:rFonts w:ascii="Arial" w:hAnsi="Arial" w:cs="Arial"/>
          <w:sz w:val="22"/>
          <w:szCs w:val="22"/>
        </w:rPr>
        <w:t>v </w:t>
      </w:r>
      <w:r w:rsidR="007038CD" w:rsidRPr="00CB2F55">
        <w:rPr>
          <w:rFonts w:ascii="Arial" w:hAnsi="Arial" w:cs="Arial"/>
          <w:sz w:val="22"/>
          <w:szCs w:val="22"/>
        </w:rPr>
        <w:t>průběhu</w:t>
      </w:r>
      <w:r w:rsidR="00A17FF7" w:rsidRPr="00CB2F55">
        <w:rPr>
          <w:rFonts w:ascii="Arial" w:hAnsi="Arial" w:cs="Arial"/>
          <w:sz w:val="22"/>
          <w:szCs w:val="22"/>
        </w:rPr>
        <w:t xml:space="preserve"> 1</w:t>
      </w:r>
      <w:r w:rsidR="00DD5EC2">
        <w:rPr>
          <w:rFonts w:ascii="Arial" w:hAnsi="Arial" w:cs="Arial"/>
          <w:sz w:val="22"/>
          <w:szCs w:val="22"/>
        </w:rPr>
        <w:t>3</w:t>
      </w:r>
      <w:r w:rsidR="00A17FF7" w:rsidRPr="00CB2F55">
        <w:rPr>
          <w:rFonts w:ascii="Arial" w:hAnsi="Arial" w:cs="Arial"/>
          <w:sz w:val="22"/>
          <w:szCs w:val="22"/>
        </w:rPr>
        <w:t xml:space="preserve">-ti měsíců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B61D74" w:rsidRPr="00CB2F55">
        <w:rPr>
          <w:rFonts w:ascii="Arial" w:hAnsi="Arial" w:cs="Arial"/>
          <w:sz w:val="22"/>
          <w:szCs w:val="22"/>
        </w:rPr>
        <w:t xml:space="preserve">prodávající </w:t>
      </w:r>
      <w:r w:rsidRPr="00CB2F55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Cenu jednotlivé</w:t>
      </w:r>
      <w:r w:rsidR="00A17FF7" w:rsidRPr="00CB2F55">
        <w:rPr>
          <w:rFonts w:ascii="Arial" w:hAnsi="Arial" w:cs="Arial"/>
          <w:sz w:val="22"/>
          <w:szCs w:val="22"/>
        </w:rPr>
        <w:t>ho dílčího plnění</w:t>
      </w:r>
      <w:r w:rsidRPr="00CB2F55">
        <w:rPr>
          <w:rFonts w:ascii="Arial" w:hAnsi="Arial" w:cs="Arial"/>
          <w:sz w:val="22"/>
          <w:szCs w:val="22"/>
        </w:rPr>
        <w:t xml:space="preserve"> veřejné zakázky uhradí </w:t>
      </w:r>
      <w:r w:rsidR="00136CD5" w:rsidRPr="00CB2F55">
        <w:rPr>
          <w:rFonts w:ascii="Arial" w:hAnsi="Arial" w:cs="Arial"/>
          <w:sz w:val="22"/>
          <w:szCs w:val="22"/>
        </w:rPr>
        <w:t xml:space="preserve">kupující </w:t>
      </w:r>
      <w:r w:rsidRPr="00CB2F55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136CD5" w:rsidRPr="00CB2F55">
        <w:rPr>
          <w:rFonts w:ascii="Arial" w:hAnsi="Arial" w:cs="Arial"/>
          <w:sz w:val="22"/>
          <w:szCs w:val="22"/>
        </w:rPr>
        <w:t xml:space="preserve">prodávajícího </w:t>
      </w:r>
      <w:r w:rsidRPr="00CB2F55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136CD5" w:rsidRPr="00CB2F55">
        <w:rPr>
          <w:rFonts w:ascii="Arial" w:hAnsi="Arial" w:cs="Arial"/>
          <w:sz w:val="22"/>
          <w:szCs w:val="22"/>
        </w:rPr>
        <w:t>kupujícímu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E57C29" w:rsidRPr="00CB2F55">
        <w:rPr>
          <w:rFonts w:ascii="Arial" w:hAnsi="Arial" w:cs="Arial"/>
          <w:sz w:val="22"/>
          <w:szCs w:val="22"/>
        </w:rPr>
        <w:t xml:space="preserve">Přílohou každé faktury je předávací protokol (dodací list). </w:t>
      </w:r>
      <w:r w:rsidRPr="00CB2F55">
        <w:rPr>
          <w:rFonts w:ascii="Arial" w:hAnsi="Arial" w:cs="Arial"/>
          <w:sz w:val="22"/>
          <w:szCs w:val="22"/>
        </w:rPr>
        <w:t>Faktur</w:t>
      </w:r>
      <w:r w:rsidR="00EC6910" w:rsidRPr="00CB2F55">
        <w:rPr>
          <w:rFonts w:ascii="Arial" w:hAnsi="Arial" w:cs="Arial"/>
          <w:sz w:val="22"/>
          <w:szCs w:val="22"/>
        </w:rPr>
        <w:t>a</w:t>
      </w:r>
      <w:r w:rsidRPr="00CB2F55">
        <w:rPr>
          <w:rFonts w:ascii="Arial" w:hAnsi="Arial" w:cs="Arial"/>
          <w:sz w:val="22"/>
          <w:szCs w:val="22"/>
        </w:rPr>
        <w:t xml:space="preserve"> je splatná </w:t>
      </w:r>
      <w:r w:rsidR="00EC6910" w:rsidRPr="00CB2F55">
        <w:rPr>
          <w:rFonts w:ascii="Arial" w:hAnsi="Arial" w:cs="Arial"/>
          <w:sz w:val="22"/>
          <w:szCs w:val="22"/>
        </w:rPr>
        <w:t xml:space="preserve">vždy </w:t>
      </w:r>
      <w:r w:rsidRPr="00CB2F55">
        <w:rPr>
          <w:rFonts w:ascii="Arial" w:hAnsi="Arial" w:cs="Arial"/>
          <w:sz w:val="22"/>
          <w:szCs w:val="22"/>
        </w:rPr>
        <w:t>do 30 dn</w:t>
      </w:r>
      <w:r w:rsidR="000957FF" w:rsidRPr="00CB2F55">
        <w:rPr>
          <w:rFonts w:ascii="Arial" w:hAnsi="Arial" w:cs="Arial"/>
          <w:sz w:val="22"/>
          <w:szCs w:val="22"/>
        </w:rPr>
        <w:t>ů</w:t>
      </w:r>
      <w:r w:rsidRPr="00CB2F55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CB2F55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CB2F55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136CD5" w:rsidRPr="00CB2F55">
        <w:rPr>
          <w:rFonts w:ascii="Arial" w:hAnsi="Arial" w:cs="Arial"/>
          <w:sz w:val="22"/>
          <w:szCs w:val="22"/>
        </w:rPr>
        <w:t xml:space="preserve">kupující </w:t>
      </w:r>
      <w:r w:rsidR="003D511A" w:rsidRPr="00CB2F55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136CD5" w:rsidRPr="00CB2F55">
        <w:rPr>
          <w:rFonts w:ascii="Arial" w:hAnsi="Arial" w:cs="Arial"/>
          <w:sz w:val="22"/>
          <w:szCs w:val="22"/>
        </w:rPr>
        <w:t xml:space="preserve">prodávajícímu </w:t>
      </w:r>
      <w:r w:rsidR="003D511A" w:rsidRPr="00CB2F55">
        <w:rPr>
          <w:rFonts w:ascii="Arial" w:hAnsi="Arial" w:cs="Arial"/>
          <w:sz w:val="22"/>
          <w:szCs w:val="22"/>
        </w:rPr>
        <w:t xml:space="preserve">s vytknutím nedostatků, aniž by se dostal do prodlení se splatností. Lhůta splatnosti počíná běžet znovu od okamžiku doručení opravené či doplněné faktury </w:t>
      </w:r>
      <w:r w:rsidR="00DE6E99" w:rsidRPr="00CB2F55">
        <w:rPr>
          <w:rFonts w:ascii="Arial" w:hAnsi="Arial" w:cs="Arial"/>
          <w:sz w:val="22"/>
          <w:szCs w:val="22"/>
        </w:rPr>
        <w:t>kupujícímu</w:t>
      </w:r>
      <w:r w:rsidR="003D511A" w:rsidRPr="00CB2F55">
        <w:rPr>
          <w:rFonts w:ascii="Arial" w:hAnsi="Arial" w:cs="Arial"/>
          <w:sz w:val="22"/>
          <w:szCs w:val="22"/>
        </w:rPr>
        <w:t xml:space="preserve">. </w:t>
      </w:r>
      <w:r w:rsidR="00DE6E99" w:rsidRPr="00CB2F55">
        <w:rPr>
          <w:rFonts w:ascii="Arial" w:hAnsi="Arial" w:cs="Arial"/>
          <w:sz w:val="22"/>
          <w:szCs w:val="22"/>
        </w:rPr>
        <w:t xml:space="preserve">Kupující </w:t>
      </w:r>
      <w:r w:rsidR="00FF1049" w:rsidRPr="00CB2F55">
        <w:rPr>
          <w:rFonts w:ascii="Arial" w:hAnsi="Arial" w:cs="Arial"/>
          <w:sz w:val="22"/>
          <w:szCs w:val="22"/>
        </w:rPr>
        <w:t>neposkytuje</w:t>
      </w:r>
      <w:r w:rsidR="00F21318" w:rsidRPr="00CB2F55">
        <w:rPr>
          <w:rFonts w:ascii="Arial" w:hAnsi="Arial" w:cs="Arial"/>
          <w:sz w:val="22"/>
          <w:szCs w:val="22"/>
        </w:rPr>
        <w:t xml:space="preserve"> zálohy</w:t>
      </w:r>
      <w:r w:rsidR="00FF1049" w:rsidRPr="00CB2F55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610F45" w:rsidRDefault="002D4F81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10F45">
        <w:rPr>
          <w:rFonts w:ascii="Arial" w:hAnsi="Arial" w:cs="Arial"/>
          <w:b/>
          <w:sz w:val="22"/>
          <w:szCs w:val="22"/>
        </w:rPr>
        <w:t xml:space="preserve">Maximální celková výše plnění v jednotlivých částech veřejné zakázky po dobu trvání rámcové </w:t>
      </w:r>
      <w:r w:rsidR="00097B5F" w:rsidRPr="00610F45">
        <w:rPr>
          <w:rFonts w:ascii="Arial" w:hAnsi="Arial" w:cs="Arial"/>
          <w:b/>
          <w:sz w:val="22"/>
          <w:szCs w:val="22"/>
        </w:rPr>
        <w:t>dohody</w:t>
      </w:r>
      <w:r w:rsidRPr="00610F45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610F45" w:rsidRDefault="002D4F81" w:rsidP="002D4F8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>pro část 1 – Originální tonery a</w:t>
      </w:r>
      <w:r w:rsidR="00A20C64" w:rsidRPr="00610F45">
        <w:rPr>
          <w:rFonts w:ascii="Arial" w:hAnsi="Arial" w:cs="Arial"/>
          <w:sz w:val="22"/>
          <w:szCs w:val="22"/>
        </w:rPr>
        <w:t xml:space="preserve"> příslušenství Hewlett Packard</w:t>
      </w:r>
      <w:r w:rsidRPr="00610F45">
        <w:rPr>
          <w:rFonts w:ascii="Arial" w:hAnsi="Arial" w:cs="Arial"/>
          <w:sz w:val="22"/>
          <w:szCs w:val="22"/>
        </w:rPr>
        <w:t xml:space="preserve">: </w:t>
      </w:r>
      <w:r w:rsidR="00610F45" w:rsidRPr="00610F45">
        <w:rPr>
          <w:rFonts w:ascii="Arial" w:hAnsi="Arial" w:cs="Arial"/>
          <w:sz w:val="22"/>
          <w:szCs w:val="22"/>
        </w:rPr>
        <w:t>2 200 000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 xml:space="preserve">pro část 2 – Alternativní tonery </w:t>
      </w:r>
      <w:r w:rsidR="00A20C64" w:rsidRPr="00610F45">
        <w:rPr>
          <w:rFonts w:ascii="Arial" w:hAnsi="Arial" w:cs="Arial"/>
          <w:sz w:val="22"/>
          <w:szCs w:val="22"/>
        </w:rPr>
        <w:t>Hewlett Packard</w:t>
      </w:r>
      <w:r w:rsidRPr="00610F45">
        <w:rPr>
          <w:rFonts w:ascii="Arial" w:hAnsi="Arial" w:cs="Arial"/>
          <w:sz w:val="22"/>
          <w:szCs w:val="22"/>
        </w:rPr>
        <w:t xml:space="preserve">: </w:t>
      </w:r>
      <w:r w:rsidR="00610F45" w:rsidRPr="00610F45">
        <w:rPr>
          <w:rFonts w:ascii="Arial" w:hAnsi="Arial" w:cs="Arial"/>
          <w:sz w:val="22"/>
          <w:szCs w:val="22"/>
        </w:rPr>
        <w:t>200 000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 xml:space="preserve">pro část 3 – Originální tonery a příslušenství Canon: </w:t>
      </w:r>
      <w:r w:rsidR="00610F45" w:rsidRPr="00610F45">
        <w:rPr>
          <w:rFonts w:ascii="Arial" w:hAnsi="Arial" w:cs="Arial"/>
          <w:sz w:val="22"/>
          <w:szCs w:val="22"/>
        </w:rPr>
        <w:t>700 000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 xml:space="preserve">pro část </w:t>
      </w:r>
      <w:r w:rsidR="001D6E38" w:rsidRPr="00610F45">
        <w:rPr>
          <w:rFonts w:ascii="Arial" w:hAnsi="Arial" w:cs="Arial"/>
          <w:sz w:val="22"/>
          <w:szCs w:val="22"/>
        </w:rPr>
        <w:t xml:space="preserve">4 – Alternativní tonery Canon: </w:t>
      </w:r>
      <w:r w:rsidR="00610F45" w:rsidRPr="00610F45">
        <w:rPr>
          <w:rFonts w:ascii="Arial" w:hAnsi="Arial" w:cs="Arial"/>
          <w:sz w:val="22"/>
          <w:szCs w:val="22"/>
        </w:rPr>
        <w:t>100 000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 xml:space="preserve">pro část 5 – Originální tonery a příslušenství ostatních značek: </w:t>
      </w:r>
      <w:r w:rsidR="00610F45" w:rsidRPr="00610F45">
        <w:rPr>
          <w:rFonts w:ascii="Arial" w:hAnsi="Arial" w:cs="Arial"/>
          <w:sz w:val="22"/>
          <w:szCs w:val="22"/>
        </w:rPr>
        <w:t>2 500 000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610F45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610F45">
        <w:rPr>
          <w:rFonts w:ascii="Arial" w:hAnsi="Arial" w:cs="Arial"/>
          <w:sz w:val="22"/>
          <w:szCs w:val="22"/>
        </w:rPr>
        <w:t xml:space="preserve">pro část 6 – Alternativní </w:t>
      </w:r>
      <w:r w:rsidR="001D6E38" w:rsidRPr="00610F45">
        <w:rPr>
          <w:rFonts w:ascii="Arial" w:hAnsi="Arial" w:cs="Arial"/>
          <w:sz w:val="22"/>
          <w:szCs w:val="22"/>
        </w:rPr>
        <w:t xml:space="preserve">tonery ostatních značek: </w:t>
      </w:r>
      <w:r w:rsidR="00610F45" w:rsidRPr="00610F45">
        <w:rPr>
          <w:rFonts w:ascii="Arial" w:hAnsi="Arial" w:cs="Arial"/>
          <w:sz w:val="22"/>
          <w:szCs w:val="22"/>
        </w:rPr>
        <w:t>200 000</w:t>
      </w:r>
      <w:r w:rsidRPr="00610F45">
        <w:rPr>
          <w:rFonts w:ascii="Arial" w:hAnsi="Arial" w:cs="Arial"/>
          <w:sz w:val="22"/>
          <w:szCs w:val="22"/>
        </w:rPr>
        <w:t>,- Kč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D81A45" w:rsidP="001176F8">
      <w:pPr>
        <w:jc w:val="both"/>
        <w:rPr>
          <w:rFonts w:ascii="Arial" w:hAnsi="Arial" w:cs="Arial"/>
          <w:i/>
          <w:sz w:val="22"/>
          <w:szCs w:val="22"/>
        </w:rPr>
      </w:pPr>
      <w:r w:rsidRPr="00CB2F55">
        <w:rPr>
          <w:rFonts w:ascii="Arial" w:hAnsi="Arial" w:cs="Arial"/>
          <w:i/>
          <w:sz w:val="22"/>
          <w:szCs w:val="22"/>
          <w:highlight w:val="yellow"/>
        </w:rPr>
        <w:t xml:space="preserve">Pozn.: </w:t>
      </w:r>
      <w:r w:rsidR="00CB2F55">
        <w:rPr>
          <w:rFonts w:ascii="Arial" w:hAnsi="Arial" w:cs="Arial"/>
          <w:i/>
          <w:sz w:val="22"/>
          <w:szCs w:val="22"/>
          <w:highlight w:val="yellow"/>
        </w:rPr>
        <w:t>Dodavatel uveden č</w:t>
      </w:r>
      <w:r w:rsidR="001D6E38" w:rsidRPr="00CB2F55">
        <w:rPr>
          <w:rFonts w:ascii="Arial" w:hAnsi="Arial" w:cs="Arial"/>
          <w:i/>
          <w:sz w:val="22"/>
          <w:szCs w:val="22"/>
          <w:highlight w:val="yellow"/>
        </w:rPr>
        <w:t xml:space="preserve">ásti </w:t>
      </w:r>
      <w:r w:rsidRPr="00CB2F55">
        <w:rPr>
          <w:rFonts w:ascii="Arial" w:hAnsi="Arial" w:cs="Arial"/>
          <w:i/>
          <w:sz w:val="22"/>
          <w:szCs w:val="22"/>
          <w:highlight w:val="yellow"/>
        </w:rPr>
        <w:t>podle skutečnosti – dle toho, na které části veřejné zakázky podává nabídku</w:t>
      </w:r>
      <w:r w:rsidR="00CB2F55" w:rsidRPr="00CB2F55">
        <w:rPr>
          <w:rFonts w:ascii="Arial" w:hAnsi="Arial" w:cs="Arial"/>
          <w:i/>
          <w:sz w:val="22"/>
          <w:szCs w:val="22"/>
          <w:highlight w:val="yellow"/>
        </w:rPr>
        <w:t xml:space="preserve">, poté tuto poznámku z textu </w:t>
      </w:r>
      <w:r w:rsidR="00CB2F55">
        <w:rPr>
          <w:rFonts w:ascii="Arial" w:hAnsi="Arial" w:cs="Arial"/>
          <w:i/>
          <w:sz w:val="22"/>
          <w:szCs w:val="22"/>
          <w:highlight w:val="yellow"/>
        </w:rPr>
        <w:t>odstraní.</w:t>
      </w:r>
    </w:p>
    <w:p w:rsidR="001176F8" w:rsidRPr="00CB2F55" w:rsidRDefault="001176F8" w:rsidP="001176F8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04F91" w:rsidRDefault="00136CD5" w:rsidP="009B0F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Prodávající </w:t>
      </w:r>
      <w:r w:rsidR="00984B70" w:rsidRPr="00CB2F55">
        <w:rPr>
          <w:rFonts w:ascii="Arial" w:hAnsi="Arial" w:cs="Arial"/>
          <w:sz w:val="22"/>
          <w:szCs w:val="22"/>
        </w:rPr>
        <w:t xml:space="preserve">je povinen dodat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CB2F55">
        <w:rPr>
          <w:rFonts w:ascii="Arial" w:hAnsi="Arial" w:cs="Arial"/>
          <w:sz w:val="22"/>
          <w:szCs w:val="22"/>
        </w:rPr>
        <w:t xml:space="preserve">v termínu jednostranně stanoveném </w:t>
      </w:r>
      <w:r w:rsidRPr="00CB2F55">
        <w:rPr>
          <w:rFonts w:ascii="Arial" w:hAnsi="Arial" w:cs="Arial"/>
          <w:sz w:val="22"/>
          <w:szCs w:val="22"/>
        </w:rPr>
        <w:t xml:space="preserve">Kupujícím </w:t>
      </w:r>
      <w:r w:rsidR="00B946D6" w:rsidRPr="00CB2F55">
        <w:rPr>
          <w:rFonts w:ascii="Arial" w:hAnsi="Arial" w:cs="Arial"/>
          <w:sz w:val="22"/>
          <w:szCs w:val="22"/>
        </w:rPr>
        <w:t>v</w:t>
      </w:r>
      <w:r w:rsidR="00D04F91" w:rsidRPr="00CB2F55">
        <w:rPr>
          <w:rFonts w:ascii="Arial" w:hAnsi="Arial" w:cs="Arial"/>
          <w:sz w:val="22"/>
          <w:szCs w:val="22"/>
        </w:rPr>
        <w:t>e</w:t>
      </w:r>
      <w:r w:rsidR="00B946D6" w:rsidRPr="00CB2F55">
        <w:rPr>
          <w:rFonts w:ascii="Arial" w:hAnsi="Arial" w:cs="Arial"/>
          <w:sz w:val="22"/>
          <w:szCs w:val="22"/>
        </w:rPr>
        <w:t> </w:t>
      </w:r>
      <w:r w:rsidR="00D04F91" w:rsidRPr="00CB2F55">
        <w:rPr>
          <w:rFonts w:ascii="Arial" w:hAnsi="Arial" w:cs="Arial"/>
          <w:sz w:val="22"/>
          <w:szCs w:val="22"/>
        </w:rPr>
        <w:t>výzvě k plnění</w:t>
      </w:r>
      <w:r w:rsidR="00984B70" w:rsidRPr="00CB2F55">
        <w:rPr>
          <w:rFonts w:ascii="Arial" w:hAnsi="Arial" w:cs="Arial"/>
          <w:sz w:val="22"/>
          <w:szCs w:val="22"/>
        </w:rPr>
        <w:t xml:space="preserve">, </w:t>
      </w:r>
      <w:r w:rsidR="001539C4" w:rsidRPr="00CB2F55">
        <w:rPr>
          <w:rFonts w:ascii="Arial" w:hAnsi="Arial" w:cs="Arial"/>
          <w:sz w:val="22"/>
          <w:szCs w:val="22"/>
        </w:rPr>
        <w:t>nejpoz</w:t>
      </w:r>
      <w:r w:rsidR="00F342B5" w:rsidRPr="00CB2F55">
        <w:rPr>
          <w:rFonts w:ascii="Arial" w:hAnsi="Arial" w:cs="Arial"/>
          <w:sz w:val="22"/>
          <w:szCs w:val="22"/>
        </w:rPr>
        <w:t>d</w:t>
      </w:r>
      <w:r w:rsidR="001539C4" w:rsidRPr="00CB2F55">
        <w:rPr>
          <w:rFonts w:ascii="Arial" w:hAnsi="Arial" w:cs="Arial"/>
          <w:sz w:val="22"/>
          <w:szCs w:val="22"/>
        </w:rPr>
        <w:t xml:space="preserve">ěji </w:t>
      </w:r>
      <w:r w:rsidR="00B946D6" w:rsidRPr="00CB2F55">
        <w:rPr>
          <w:rFonts w:ascii="Arial" w:hAnsi="Arial" w:cs="Arial"/>
          <w:sz w:val="22"/>
          <w:szCs w:val="22"/>
        </w:rPr>
        <w:t>však</w:t>
      </w:r>
      <w:r w:rsidR="00F6346B" w:rsidRPr="00CB2F55">
        <w:rPr>
          <w:rFonts w:ascii="Arial" w:hAnsi="Arial" w:cs="Arial"/>
          <w:sz w:val="22"/>
          <w:szCs w:val="22"/>
        </w:rPr>
        <w:t xml:space="preserve"> do</w:t>
      </w:r>
      <w:r w:rsidR="00B946D6" w:rsidRPr="00CB2F55">
        <w:rPr>
          <w:rFonts w:ascii="Arial" w:hAnsi="Arial" w:cs="Arial"/>
          <w:sz w:val="22"/>
          <w:szCs w:val="22"/>
        </w:rPr>
        <w:t xml:space="preserve"> </w:t>
      </w:r>
      <w:r w:rsidR="00D81A45" w:rsidRPr="00CB2F55">
        <w:rPr>
          <w:rFonts w:ascii="Arial" w:hAnsi="Arial" w:cs="Arial"/>
          <w:sz w:val="22"/>
          <w:szCs w:val="22"/>
        </w:rPr>
        <w:t>5</w:t>
      </w:r>
      <w:r w:rsidR="00DB43FA" w:rsidRPr="00CB2F55">
        <w:rPr>
          <w:rFonts w:ascii="Arial" w:hAnsi="Arial" w:cs="Arial"/>
          <w:sz w:val="22"/>
          <w:szCs w:val="22"/>
        </w:rPr>
        <w:t xml:space="preserve"> </w:t>
      </w:r>
      <w:r w:rsidR="00B946D6" w:rsidRPr="00CB2F55">
        <w:rPr>
          <w:rFonts w:ascii="Arial" w:hAnsi="Arial" w:cs="Arial"/>
          <w:sz w:val="22"/>
          <w:szCs w:val="22"/>
        </w:rPr>
        <w:t>pracovní</w:t>
      </w:r>
      <w:r w:rsidR="00DA048E" w:rsidRPr="00CB2F55">
        <w:rPr>
          <w:rFonts w:ascii="Arial" w:hAnsi="Arial" w:cs="Arial"/>
          <w:sz w:val="22"/>
          <w:szCs w:val="22"/>
        </w:rPr>
        <w:t>ch</w:t>
      </w:r>
      <w:r w:rsidR="00B946D6" w:rsidRPr="00CB2F55">
        <w:rPr>
          <w:rFonts w:ascii="Arial" w:hAnsi="Arial" w:cs="Arial"/>
          <w:sz w:val="22"/>
          <w:szCs w:val="22"/>
        </w:rPr>
        <w:t xml:space="preserve"> dn</w:t>
      </w:r>
      <w:r w:rsidR="00DA048E" w:rsidRPr="00CB2F55">
        <w:rPr>
          <w:rFonts w:ascii="Arial" w:hAnsi="Arial" w:cs="Arial"/>
          <w:sz w:val="22"/>
          <w:szCs w:val="22"/>
        </w:rPr>
        <w:t>ů</w:t>
      </w:r>
      <w:r w:rsidR="00DB075B" w:rsidRPr="00CB2F55">
        <w:rPr>
          <w:rFonts w:ascii="Arial" w:hAnsi="Arial" w:cs="Arial"/>
          <w:sz w:val="22"/>
          <w:szCs w:val="22"/>
        </w:rPr>
        <w:t xml:space="preserve"> </w:t>
      </w:r>
      <w:r w:rsidR="00B946D6" w:rsidRPr="00CB2F55">
        <w:rPr>
          <w:rFonts w:ascii="Arial" w:hAnsi="Arial" w:cs="Arial"/>
          <w:sz w:val="22"/>
          <w:szCs w:val="22"/>
        </w:rPr>
        <w:t>po podpisu smlouvy na dílčí plnění</w:t>
      </w:r>
      <w:r w:rsidR="00D04F91" w:rsidRPr="00CB2F55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CB2F55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CB2F55">
        <w:rPr>
          <w:rFonts w:ascii="Arial" w:hAnsi="Arial" w:cs="Arial"/>
          <w:sz w:val="22"/>
          <w:szCs w:val="22"/>
        </w:rPr>
        <w:t xml:space="preserve">místo, které </w:t>
      </w:r>
      <w:r w:rsidR="009558DE" w:rsidRPr="00CB2F55">
        <w:rPr>
          <w:rFonts w:ascii="Arial" w:hAnsi="Arial" w:cs="Arial"/>
          <w:sz w:val="22"/>
          <w:szCs w:val="22"/>
        </w:rPr>
        <w:lastRenderedPageBreak/>
        <w:t xml:space="preserve">určí </w:t>
      </w:r>
      <w:r w:rsidRPr="00CB2F55">
        <w:rPr>
          <w:rFonts w:ascii="Arial" w:hAnsi="Arial" w:cs="Arial"/>
          <w:sz w:val="22"/>
          <w:szCs w:val="22"/>
        </w:rPr>
        <w:t xml:space="preserve">kupující </w:t>
      </w:r>
      <w:r w:rsidR="009558DE" w:rsidRPr="00CB2F55">
        <w:rPr>
          <w:rFonts w:ascii="Arial" w:hAnsi="Arial" w:cs="Arial"/>
          <w:sz w:val="22"/>
          <w:szCs w:val="22"/>
        </w:rPr>
        <w:t>v</w:t>
      </w:r>
      <w:r w:rsidR="00D04F91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D04F91" w:rsidRPr="00CB2F55">
        <w:rPr>
          <w:rFonts w:ascii="Arial" w:hAnsi="Arial" w:cs="Arial"/>
          <w:sz w:val="22"/>
          <w:szCs w:val="22"/>
        </w:rPr>
        <w:t>výzvě k plnění</w:t>
      </w:r>
      <w:r w:rsidR="009558DE" w:rsidRPr="00CB2F55">
        <w:rPr>
          <w:rFonts w:ascii="Arial" w:hAnsi="Arial" w:cs="Arial"/>
          <w:sz w:val="22"/>
          <w:szCs w:val="22"/>
        </w:rPr>
        <w:t xml:space="preserve">. Pro jednotlivé části </w:t>
      </w:r>
      <w:r w:rsidR="00B946D6" w:rsidRPr="00CB2F55">
        <w:rPr>
          <w:rFonts w:ascii="Arial" w:hAnsi="Arial" w:cs="Arial"/>
          <w:sz w:val="22"/>
          <w:szCs w:val="22"/>
        </w:rPr>
        <w:t>plnění mohou být určena rozdílná místa plnění. Jestliže nebude v </w:t>
      </w:r>
      <w:r w:rsidR="00674C70" w:rsidRPr="00CB2F55">
        <w:rPr>
          <w:rFonts w:ascii="Arial" w:hAnsi="Arial" w:cs="Arial"/>
          <w:sz w:val="22"/>
          <w:szCs w:val="22"/>
        </w:rPr>
        <w:t>objednávce</w:t>
      </w:r>
      <w:r w:rsidR="00B946D6" w:rsidRPr="00CB2F55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CB2F55">
        <w:rPr>
          <w:rFonts w:ascii="Arial" w:hAnsi="Arial" w:cs="Arial"/>
          <w:sz w:val="22"/>
          <w:szCs w:val="22"/>
        </w:rPr>
        <w:t xml:space="preserve"> </w:t>
      </w:r>
      <w:r w:rsidR="00B946D6" w:rsidRPr="00CB2F55">
        <w:rPr>
          <w:rFonts w:ascii="Arial" w:hAnsi="Arial" w:cs="Arial"/>
          <w:sz w:val="22"/>
          <w:szCs w:val="22"/>
        </w:rPr>
        <w:t xml:space="preserve">považováno sídlo </w:t>
      </w:r>
      <w:r w:rsidRPr="00CB2F55">
        <w:rPr>
          <w:rFonts w:ascii="Arial" w:hAnsi="Arial" w:cs="Arial"/>
          <w:sz w:val="22"/>
          <w:szCs w:val="22"/>
        </w:rPr>
        <w:t xml:space="preserve">Kupujícího </w:t>
      </w:r>
      <w:r w:rsidR="00216BAA" w:rsidRPr="00CB2F55">
        <w:rPr>
          <w:rFonts w:ascii="Arial" w:hAnsi="Arial" w:cs="Arial"/>
          <w:sz w:val="22"/>
          <w:szCs w:val="22"/>
        </w:rPr>
        <w:t xml:space="preserve">na adrese Mendelova univerzita v Brně, </w:t>
      </w:r>
      <w:r w:rsidR="00984B70" w:rsidRPr="00CB2F55">
        <w:rPr>
          <w:rFonts w:ascii="Arial" w:hAnsi="Arial" w:cs="Arial"/>
          <w:sz w:val="22"/>
          <w:szCs w:val="22"/>
        </w:rPr>
        <w:t xml:space="preserve">Zemědělská </w:t>
      </w:r>
      <w:r w:rsidR="00216BAA" w:rsidRPr="00CB2F55">
        <w:rPr>
          <w:rFonts w:ascii="Arial" w:hAnsi="Arial" w:cs="Arial"/>
          <w:sz w:val="22"/>
          <w:szCs w:val="22"/>
        </w:rPr>
        <w:t>1665/</w:t>
      </w:r>
      <w:r w:rsidR="00984B70" w:rsidRPr="00CB2F55">
        <w:rPr>
          <w:rFonts w:ascii="Arial" w:hAnsi="Arial" w:cs="Arial"/>
          <w:sz w:val="22"/>
          <w:szCs w:val="22"/>
        </w:rPr>
        <w:t>1</w:t>
      </w:r>
      <w:r w:rsidR="00A22D5A" w:rsidRPr="00CB2F55">
        <w:rPr>
          <w:rFonts w:ascii="Arial" w:hAnsi="Arial" w:cs="Arial"/>
          <w:sz w:val="22"/>
          <w:szCs w:val="22"/>
        </w:rPr>
        <w:t xml:space="preserve">, </w:t>
      </w:r>
      <w:r w:rsidR="00216BAA" w:rsidRPr="00CB2F55">
        <w:rPr>
          <w:rFonts w:ascii="Arial" w:hAnsi="Arial" w:cs="Arial"/>
          <w:sz w:val="22"/>
          <w:szCs w:val="22"/>
        </w:rPr>
        <w:t xml:space="preserve">613 00 </w:t>
      </w:r>
      <w:r w:rsidR="00A22D5A" w:rsidRPr="00CB2F55">
        <w:rPr>
          <w:rFonts w:ascii="Arial" w:hAnsi="Arial" w:cs="Arial"/>
          <w:sz w:val="22"/>
          <w:szCs w:val="22"/>
        </w:rPr>
        <w:t>Brno</w:t>
      </w:r>
      <w:r w:rsidR="00984B70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539C4" w:rsidRPr="00CB2F55" w:rsidRDefault="001539C4" w:rsidP="00D04F9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M</w:t>
      </w:r>
      <w:r w:rsidR="00D04F91" w:rsidRPr="00CB2F55">
        <w:rPr>
          <w:rFonts w:ascii="Arial" w:hAnsi="Arial" w:cs="Arial"/>
          <w:sz w:val="22"/>
          <w:szCs w:val="22"/>
        </w:rPr>
        <w:t xml:space="preserve">ísta plnění – jednotlivá pracoviště </w:t>
      </w:r>
      <w:r w:rsidR="00136CD5" w:rsidRPr="00CB2F55">
        <w:rPr>
          <w:rFonts w:ascii="Arial" w:hAnsi="Arial" w:cs="Arial"/>
          <w:sz w:val="22"/>
          <w:szCs w:val="22"/>
        </w:rPr>
        <w:t>kupujícího</w:t>
      </w:r>
      <w:r w:rsidR="00D04F91" w:rsidRPr="00CB2F55">
        <w:rPr>
          <w:rFonts w:ascii="Arial" w:hAnsi="Arial" w:cs="Arial"/>
          <w:sz w:val="22"/>
          <w:szCs w:val="22"/>
        </w:rPr>
        <w:t>.</w:t>
      </w:r>
    </w:p>
    <w:p w:rsidR="00D04F91" w:rsidRPr="00CB2F55" w:rsidRDefault="00D04F91" w:rsidP="00962B3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Mendelova univerzita v Brně, Zemědělská </w:t>
      </w:r>
      <w:r w:rsidR="00216BAA" w:rsidRPr="00CB2F55">
        <w:rPr>
          <w:rFonts w:ascii="Arial" w:hAnsi="Arial" w:cs="Arial"/>
          <w:sz w:val="22"/>
          <w:szCs w:val="22"/>
        </w:rPr>
        <w:t>1665/</w:t>
      </w:r>
      <w:r w:rsidRPr="00CB2F55">
        <w:rPr>
          <w:rFonts w:ascii="Arial" w:hAnsi="Arial" w:cs="Arial"/>
          <w:sz w:val="22"/>
          <w:szCs w:val="22"/>
        </w:rPr>
        <w:t>1, 613 00 Brno</w:t>
      </w:r>
    </w:p>
    <w:p w:rsidR="00216BAA" w:rsidRPr="00CB2F55" w:rsidRDefault="00216BAA" w:rsidP="00962B3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Mendelova univerzita v Brně, Fakulta regionálního rozvoje a mezinárodních studií, třída Generála Píky 2005/7, 613 00 Brno</w:t>
      </w:r>
    </w:p>
    <w:p w:rsidR="00D04F91" w:rsidRPr="00CB2F55" w:rsidRDefault="00D04F91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Mendelova univerzita v Brně, Zahradn</w:t>
      </w:r>
      <w:r w:rsidR="00216BAA" w:rsidRPr="00CB2F55">
        <w:rPr>
          <w:rFonts w:ascii="Arial" w:hAnsi="Arial" w:cs="Arial"/>
          <w:sz w:val="22"/>
          <w:szCs w:val="22"/>
        </w:rPr>
        <w:t xml:space="preserve">ická fakulta, Valtická 337, 691 </w:t>
      </w:r>
      <w:r w:rsidRPr="00CB2F55">
        <w:rPr>
          <w:rFonts w:ascii="Arial" w:hAnsi="Arial" w:cs="Arial"/>
          <w:sz w:val="22"/>
          <w:szCs w:val="22"/>
        </w:rPr>
        <w:t>44  Lednice</w:t>
      </w:r>
      <w:r w:rsidR="00216BAA" w:rsidRPr="00CB2F55">
        <w:rPr>
          <w:rFonts w:ascii="Arial" w:hAnsi="Arial" w:cs="Arial"/>
          <w:sz w:val="22"/>
          <w:szCs w:val="22"/>
        </w:rPr>
        <w:t xml:space="preserve"> na Moravě</w:t>
      </w:r>
    </w:p>
    <w:p w:rsidR="00D04F91" w:rsidRPr="00CB2F55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bCs/>
          <w:sz w:val="22"/>
          <w:szCs w:val="22"/>
        </w:rPr>
        <w:t xml:space="preserve">Mendelova univerzita v Brně, </w:t>
      </w:r>
      <w:r w:rsidR="00D04F91" w:rsidRPr="00CB2F55">
        <w:rPr>
          <w:rFonts w:ascii="Arial" w:hAnsi="Arial" w:cs="Arial"/>
          <w:bCs/>
          <w:sz w:val="22"/>
          <w:szCs w:val="22"/>
        </w:rPr>
        <w:t>Institut celoživotního vzdělávání</w:t>
      </w:r>
      <w:r w:rsidRPr="00CB2F55">
        <w:rPr>
          <w:rFonts w:ascii="Arial" w:hAnsi="Arial" w:cs="Arial"/>
          <w:sz w:val="22"/>
          <w:szCs w:val="22"/>
        </w:rPr>
        <w:t xml:space="preserve">, Zemědělská </w:t>
      </w:r>
      <w:r w:rsidR="00D04F91" w:rsidRPr="00CB2F55">
        <w:rPr>
          <w:rFonts w:ascii="Arial" w:hAnsi="Arial" w:cs="Arial"/>
          <w:sz w:val="22"/>
          <w:szCs w:val="22"/>
        </w:rPr>
        <w:t>5, 613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D04F91" w:rsidRPr="00CB2F55">
        <w:rPr>
          <w:rFonts w:ascii="Arial" w:hAnsi="Arial" w:cs="Arial"/>
          <w:sz w:val="22"/>
          <w:szCs w:val="22"/>
        </w:rPr>
        <w:t>00 Brno</w:t>
      </w:r>
    </w:p>
    <w:p w:rsidR="00D04F91" w:rsidRPr="00CB2F55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Mendelova univerzita v Brně, </w:t>
      </w:r>
      <w:r w:rsidR="00D04F91" w:rsidRPr="00CB2F55">
        <w:rPr>
          <w:rFonts w:ascii="Arial" w:hAnsi="Arial" w:cs="Arial"/>
          <w:sz w:val="22"/>
          <w:szCs w:val="22"/>
        </w:rPr>
        <w:t xml:space="preserve">Školní zemědělský podnik Žabčice, </w:t>
      </w:r>
      <w:r w:rsidR="00A20C64" w:rsidRPr="00CB2F55">
        <w:rPr>
          <w:rFonts w:ascii="Arial" w:hAnsi="Arial" w:cs="Arial"/>
          <w:sz w:val="22"/>
          <w:szCs w:val="22"/>
        </w:rPr>
        <w:t xml:space="preserve">Zemědělská 53,   </w:t>
      </w:r>
      <w:r w:rsidRPr="00CB2F55">
        <w:rPr>
          <w:rFonts w:ascii="Arial" w:hAnsi="Arial" w:cs="Arial"/>
          <w:sz w:val="22"/>
          <w:szCs w:val="22"/>
        </w:rPr>
        <w:t>664 63 Žabčice</w:t>
      </w:r>
    </w:p>
    <w:p w:rsidR="005E55AB" w:rsidRPr="00CB2F55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bCs/>
          <w:sz w:val="22"/>
          <w:szCs w:val="22"/>
        </w:rPr>
        <w:t>Mendelova univerzita v Brně,</w:t>
      </w:r>
      <w:r w:rsidR="00D04F91" w:rsidRPr="00CB2F55">
        <w:rPr>
          <w:rFonts w:ascii="Arial" w:hAnsi="Arial" w:cs="Arial"/>
          <w:bCs/>
          <w:sz w:val="22"/>
          <w:szCs w:val="22"/>
        </w:rPr>
        <w:t xml:space="preserve"> </w:t>
      </w:r>
      <w:r w:rsidRPr="00CB2F55">
        <w:rPr>
          <w:rFonts w:ascii="Arial" w:hAnsi="Arial" w:cs="Arial"/>
          <w:bCs/>
          <w:sz w:val="22"/>
          <w:szCs w:val="22"/>
        </w:rPr>
        <w:t xml:space="preserve">Školní lesní podnik Masarykův les Křtiny, </w:t>
      </w:r>
      <w:r w:rsidR="00D04F91" w:rsidRPr="00CB2F55">
        <w:rPr>
          <w:rFonts w:ascii="Arial" w:hAnsi="Arial" w:cs="Arial"/>
          <w:bCs/>
          <w:sz w:val="22"/>
          <w:szCs w:val="22"/>
        </w:rPr>
        <w:t>Křtiny</w:t>
      </w:r>
      <w:r w:rsidRPr="00CB2F55">
        <w:rPr>
          <w:rFonts w:ascii="Arial" w:hAnsi="Arial" w:cs="Arial"/>
          <w:bCs/>
          <w:sz w:val="22"/>
          <w:szCs w:val="22"/>
        </w:rPr>
        <w:t xml:space="preserve"> 175</w:t>
      </w:r>
      <w:r w:rsidR="00D04F91" w:rsidRPr="00CB2F55">
        <w:rPr>
          <w:rFonts w:ascii="Arial" w:hAnsi="Arial" w:cs="Arial"/>
          <w:bCs/>
          <w:sz w:val="22"/>
          <w:szCs w:val="22"/>
        </w:rPr>
        <w:t xml:space="preserve">, </w:t>
      </w:r>
      <w:r w:rsidR="00D04F91" w:rsidRPr="00CB2F55">
        <w:rPr>
          <w:rFonts w:ascii="Arial" w:hAnsi="Arial" w:cs="Arial"/>
          <w:sz w:val="22"/>
          <w:szCs w:val="22"/>
        </w:rPr>
        <w:t xml:space="preserve">679 05 Křtiny </w:t>
      </w:r>
    </w:p>
    <w:p w:rsidR="00D04F91" w:rsidRPr="00CB2F55" w:rsidRDefault="005E55AB" w:rsidP="00962B3F">
      <w:pPr>
        <w:pStyle w:val="Odstavecseseznamem"/>
        <w:numPr>
          <w:ilvl w:val="0"/>
          <w:numId w:val="18"/>
        </w:numPr>
        <w:spacing w:before="120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Mendelova univerzita v Brně, Zkušebna stav</w:t>
      </w:r>
      <w:r w:rsidR="00962B3F" w:rsidRPr="00CB2F55">
        <w:rPr>
          <w:rFonts w:ascii="Arial" w:hAnsi="Arial" w:cs="Arial"/>
          <w:sz w:val="22"/>
          <w:szCs w:val="22"/>
        </w:rPr>
        <w:t xml:space="preserve">ebně truhlářských výrobků Zlín, </w:t>
      </w:r>
      <w:r w:rsidRPr="00CB2F55">
        <w:rPr>
          <w:rFonts w:ascii="Arial" w:hAnsi="Arial" w:cs="Arial"/>
          <w:sz w:val="22"/>
          <w:szCs w:val="22"/>
        </w:rPr>
        <w:t>Louky 304</w:t>
      </w:r>
      <w:r w:rsidR="00962B3F" w:rsidRPr="00CB2F55">
        <w:rPr>
          <w:rFonts w:ascii="Arial" w:hAnsi="Arial" w:cs="Arial"/>
          <w:sz w:val="22"/>
          <w:szCs w:val="22"/>
        </w:rPr>
        <w:t xml:space="preserve">, </w:t>
      </w:r>
      <w:r w:rsidRPr="00CB2F55">
        <w:rPr>
          <w:rFonts w:ascii="Arial" w:hAnsi="Arial" w:cs="Arial"/>
          <w:sz w:val="22"/>
          <w:szCs w:val="22"/>
        </w:rPr>
        <w:t>763</w:t>
      </w:r>
      <w:r w:rsidR="00581E4D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02 Zlín 4</w:t>
      </w:r>
      <w:r w:rsidR="00D04F91" w:rsidRPr="00CB2F55">
        <w:rPr>
          <w:rFonts w:ascii="Arial" w:hAnsi="Arial" w:cs="Arial"/>
          <w:sz w:val="22"/>
          <w:szCs w:val="22"/>
        </w:rPr>
        <w:t xml:space="preserve"> </w:t>
      </w:r>
    </w:p>
    <w:p w:rsidR="00D04F91" w:rsidRPr="00CB2F55" w:rsidRDefault="00581E4D" w:rsidP="00581E4D">
      <w:pPr>
        <w:pStyle w:val="Odstavecseseznamem"/>
        <w:numPr>
          <w:ilvl w:val="0"/>
          <w:numId w:val="18"/>
        </w:numPr>
        <w:spacing w:before="120"/>
        <w:ind w:left="641" w:hanging="357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Mendelova univerzita v Brně, </w:t>
      </w:r>
      <w:r w:rsidR="00D04F91" w:rsidRPr="00CB2F55">
        <w:rPr>
          <w:rFonts w:ascii="Arial" w:hAnsi="Arial" w:cs="Arial"/>
          <w:sz w:val="22"/>
          <w:szCs w:val="22"/>
        </w:rPr>
        <w:t xml:space="preserve">Správa kolejí a menz, </w:t>
      </w:r>
      <w:r w:rsidRPr="00CB2F55">
        <w:rPr>
          <w:rFonts w:ascii="Arial" w:hAnsi="Arial" w:cs="Arial"/>
          <w:sz w:val="22"/>
          <w:szCs w:val="22"/>
        </w:rPr>
        <w:t>Kohoutova 11, 613</w:t>
      </w:r>
      <w:r w:rsidR="00D04F91" w:rsidRPr="00CB2F55">
        <w:rPr>
          <w:rFonts w:ascii="Arial" w:hAnsi="Arial" w:cs="Arial"/>
          <w:sz w:val="22"/>
          <w:szCs w:val="22"/>
        </w:rPr>
        <w:t xml:space="preserve"> 00 Brno</w:t>
      </w:r>
    </w:p>
    <w:p w:rsidR="00A20C64" w:rsidRPr="00CB2F55" w:rsidRDefault="00A20C64" w:rsidP="00A20C64">
      <w:pPr>
        <w:pStyle w:val="Odstavecseseznamem"/>
        <w:spacing w:before="120"/>
        <w:ind w:left="641"/>
        <w:rPr>
          <w:rFonts w:ascii="Arial" w:hAnsi="Arial" w:cs="Arial"/>
          <w:sz w:val="22"/>
          <w:szCs w:val="22"/>
        </w:rPr>
      </w:pPr>
    </w:p>
    <w:p w:rsidR="00FC2A68" w:rsidRDefault="00F562BD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Kupující </w:t>
      </w:r>
      <w:r w:rsidR="00D04F91" w:rsidRPr="00CB2F55">
        <w:rPr>
          <w:rFonts w:ascii="Arial" w:hAnsi="Arial" w:cs="Arial"/>
          <w:sz w:val="22"/>
          <w:szCs w:val="22"/>
        </w:rPr>
        <w:t xml:space="preserve">stanoví v rámci konkrétní výzvy k dílčímu plnění jednotlivá místa a soubory dodání. </w:t>
      </w:r>
    </w:p>
    <w:p w:rsidR="00493E6B" w:rsidRPr="00CB2F55" w:rsidRDefault="00493E6B" w:rsidP="00493E6B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kupujícího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 doporučení na zajištění bezpečné manipulace a skladování dle směrnice EU 67/548/EEC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F562BD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Prodávající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4329BC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Prodávající má povinnost dodat kupujícímu věc bez vad. </w:t>
      </w:r>
      <w:r w:rsidR="00F562BD" w:rsidRPr="00CB2F55">
        <w:rPr>
          <w:rFonts w:ascii="Arial" w:hAnsi="Arial" w:cs="Arial"/>
          <w:sz w:val="22"/>
          <w:szCs w:val="22"/>
        </w:rPr>
        <w:t xml:space="preserve">Prodávající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 xml:space="preserve">ve standardní kvalitě, v dohodnutém množství, v obvyklém balení a stanovených lhůtách. </w:t>
      </w:r>
      <w:r w:rsidRPr="00CB2F55">
        <w:rPr>
          <w:rFonts w:ascii="Arial" w:hAnsi="Arial" w:cs="Arial"/>
          <w:sz w:val="22"/>
          <w:szCs w:val="22"/>
        </w:rPr>
        <w:t>Věc dodaná prodávajícím kupujícímu musí mít vlastnosti, které si 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Pr="00CB2F55">
        <w:rPr>
          <w:rFonts w:ascii="Arial" w:hAnsi="Arial" w:cs="Arial"/>
          <w:sz w:val="22"/>
          <w:szCs w:val="22"/>
        </w:rPr>
        <w:t xml:space="preserve"> hmotnosti apod. Za 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F562BD" w:rsidRPr="00CB2F55">
        <w:rPr>
          <w:rFonts w:ascii="Arial" w:hAnsi="Arial" w:cs="Arial"/>
          <w:sz w:val="22"/>
          <w:szCs w:val="22"/>
        </w:rPr>
        <w:t xml:space="preserve">kupující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F562BD" w:rsidRPr="00CB2F55">
        <w:rPr>
          <w:rFonts w:ascii="Arial" w:hAnsi="Arial" w:cs="Arial"/>
          <w:sz w:val="22"/>
          <w:szCs w:val="22"/>
        </w:rPr>
        <w:t xml:space="preserve">prodávajícího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Případná odpovědnost za škodu se řídí ust.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je-li to možné nebo účelné, uvedením do předešlého stavu.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 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B822AE" w:rsidP="001176F8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F562BD" w:rsidRPr="00CB2F55">
        <w:rPr>
          <w:rFonts w:ascii="Arial" w:hAnsi="Arial" w:cs="Arial"/>
          <w:sz w:val="22"/>
          <w:szCs w:val="22"/>
        </w:rPr>
        <w:t>prodávajícím</w:t>
      </w:r>
      <w:r w:rsidR="00E50D5E" w:rsidRPr="00CB2F55">
        <w:rPr>
          <w:rFonts w:ascii="Arial" w:hAnsi="Arial" w:cs="Arial"/>
          <w:sz w:val="22"/>
          <w:szCs w:val="22"/>
        </w:rPr>
        <w:t xml:space="preserve"> odstraněny nejpozději do 3 pracovních dnů od jejich řádného nahlášení. Za odstranění vady se rozumí dodání shodného nebo obdobného náhradního </w:t>
      </w:r>
      <w:r w:rsidR="00353F87" w:rsidRPr="00CB2F55">
        <w:rPr>
          <w:rFonts w:ascii="Arial" w:hAnsi="Arial" w:cs="Arial"/>
          <w:sz w:val="22"/>
          <w:szCs w:val="22"/>
        </w:rPr>
        <w:t>dílčího plnění</w:t>
      </w:r>
      <w:r w:rsidR="00E50D5E" w:rsidRPr="00CB2F55">
        <w:rPr>
          <w:rFonts w:ascii="Arial" w:hAnsi="Arial" w:cs="Arial"/>
          <w:sz w:val="22"/>
          <w:szCs w:val="22"/>
        </w:rPr>
        <w:t xml:space="preserve">, popř. dodání chybějícího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F562BD" w:rsidRPr="00CB2F55">
        <w:rPr>
          <w:rFonts w:ascii="Arial" w:hAnsi="Arial" w:cs="Arial"/>
          <w:sz w:val="22"/>
          <w:szCs w:val="22"/>
        </w:rPr>
        <w:t xml:space="preserve">kupující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F1774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578C5" w:rsidRPr="00CB2F55" w:rsidRDefault="004578C5" w:rsidP="004578C5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VII.</w:t>
      </w:r>
    </w:p>
    <w:p w:rsidR="004578C5" w:rsidRPr="00CB2F55" w:rsidRDefault="004578C5" w:rsidP="004578C5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Smluvní pokuta</w:t>
      </w:r>
    </w:p>
    <w:p w:rsidR="00644187" w:rsidRPr="00CB2F55" w:rsidRDefault="00644187" w:rsidP="004578C5">
      <w:pPr>
        <w:jc w:val="center"/>
        <w:rPr>
          <w:rFonts w:ascii="Arial" w:hAnsi="Arial" w:cs="Arial"/>
          <w:b/>
          <w:sz w:val="22"/>
          <w:szCs w:val="22"/>
        </w:rPr>
      </w:pPr>
    </w:p>
    <w:p w:rsidR="00C03747" w:rsidRDefault="0064418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případě prodlení </w:t>
      </w:r>
      <w:r w:rsidR="00F562BD" w:rsidRPr="00CB2F55">
        <w:rPr>
          <w:rFonts w:ascii="Arial" w:hAnsi="Arial" w:cs="Arial"/>
          <w:sz w:val="22"/>
          <w:szCs w:val="22"/>
        </w:rPr>
        <w:t xml:space="preserve">prodávajícího </w:t>
      </w:r>
      <w:r w:rsidRPr="00CB2F55">
        <w:rPr>
          <w:rFonts w:ascii="Arial" w:hAnsi="Arial" w:cs="Arial"/>
          <w:sz w:val="22"/>
          <w:szCs w:val="22"/>
        </w:rPr>
        <w:t xml:space="preserve">s dodáním </w:t>
      </w:r>
      <w:r w:rsidR="00353F87" w:rsidRPr="00CB2F55">
        <w:rPr>
          <w:rFonts w:ascii="Arial" w:hAnsi="Arial" w:cs="Arial"/>
          <w:sz w:val="22"/>
          <w:szCs w:val="22"/>
        </w:rPr>
        <w:t xml:space="preserve">plnění dle písemné výzvy/objednávky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F562BD" w:rsidRPr="00CB2F55">
        <w:rPr>
          <w:rFonts w:ascii="Arial" w:hAnsi="Arial" w:cs="Arial"/>
          <w:sz w:val="22"/>
          <w:szCs w:val="22"/>
        </w:rPr>
        <w:t xml:space="preserve">kupující </w:t>
      </w:r>
      <w:r w:rsidRPr="00CB2F55">
        <w:rPr>
          <w:rFonts w:ascii="Arial" w:hAnsi="Arial" w:cs="Arial"/>
          <w:sz w:val="22"/>
          <w:szCs w:val="22"/>
        </w:rPr>
        <w:t xml:space="preserve">oprávněn požadovat úhradu </w:t>
      </w:r>
      <w:r w:rsidR="003941B9" w:rsidRPr="00CB2F55">
        <w:rPr>
          <w:rFonts w:ascii="Arial" w:hAnsi="Arial" w:cs="Arial"/>
          <w:sz w:val="22"/>
          <w:szCs w:val="22"/>
        </w:rPr>
        <w:t>smluvní pokuty ve výši 0,5</w:t>
      </w:r>
      <w:r w:rsidRPr="00CB2F55">
        <w:rPr>
          <w:rFonts w:ascii="Arial" w:hAnsi="Arial" w:cs="Arial"/>
          <w:sz w:val="22"/>
          <w:szCs w:val="22"/>
        </w:rPr>
        <w:t xml:space="preserve"> % z kupní ceny ujednané v jednotlivé </w:t>
      </w:r>
      <w:r w:rsidR="00F93002" w:rsidRPr="00CB2F55">
        <w:rPr>
          <w:rFonts w:ascii="Arial" w:hAnsi="Arial" w:cs="Arial"/>
          <w:sz w:val="22"/>
          <w:szCs w:val="22"/>
        </w:rPr>
        <w:t>písemné výzvě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4A60A2" w:rsidRPr="00CB2F55">
        <w:rPr>
          <w:rFonts w:ascii="Arial" w:hAnsi="Arial" w:cs="Arial"/>
          <w:sz w:val="22"/>
          <w:szCs w:val="22"/>
        </w:rPr>
        <w:t xml:space="preserve">(objednávce) </w:t>
      </w:r>
      <w:r w:rsidRPr="00CB2F55">
        <w:rPr>
          <w:rFonts w:ascii="Arial" w:hAnsi="Arial" w:cs="Arial"/>
          <w:sz w:val="22"/>
          <w:szCs w:val="22"/>
        </w:rPr>
        <w:t>za každý i započatý den prodlení</w:t>
      </w:r>
      <w:r w:rsidR="00C03747" w:rsidRPr="00CB2F55">
        <w:rPr>
          <w:rFonts w:ascii="Arial" w:hAnsi="Arial" w:cs="Arial"/>
          <w:sz w:val="22"/>
          <w:szCs w:val="22"/>
        </w:rPr>
        <w:t xml:space="preserve">, nejvýše však do ceny dodaného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C03747" w:rsidRPr="00CB2F55">
        <w:rPr>
          <w:rFonts w:ascii="Arial" w:hAnsi="Arial" w:cs="Arial"/>
          <w:sz w:val="22"/>
          <w:szCs w:val="22"/>
        </w:rPr>
        <w:t>.</w:t>
      </w:r>
      <w:r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případě prodlení </w:t>
      </w:r>
      <w:r w:rsidR="00F562BD" w:rsidRPr="00CB2F55">
        <w:rPr>
          <w:rFonts w:ascii="Arial" w:hAnsi="Arial" w:cs="Arial"/>
          <w:sz w:val="22"/>
          <w:szCs w:val="22"/>
        </w:rPr>
        <w:t xml:space="preserve">prodávajícího </w:t>
      </w:r>
      <w:r w:rsidRPr="00CB2F55">
        <w:rPr>
          <w:rFonts w:ascii="Arial" w:hAnsi="Arial" w:cs="Arial"/>
          <w:sz w:val="22"/>
          <w:szCs w:val="22"/>
        </w:rPr>
        <w:t xml:space="preserve">s odstraněním řádně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dodaného plnění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F562BD" w:rsidRPr="00CB2F55">
        <w:rPr>
          <w:rFonts w:ascii="Arial" w:hAnsi="Arial" w:cs="Arial"/>
          <w:sz w:val="22"/>
          <w:szCs w:val="22"/>
        </w:rPr>
        <w:t xml:space="preserve">kupující </w:t>
      </w:r>
      <w:r w:rsidRPr="00CB2F55">
        <w:rPr>
          <w:rFonts w:ascii="Arial" w:hAnsi="Arial" w:cs="Arial"/>
          <w:sz w:val="22"/>
          <w:szCs w:val="22"/>
        </w:rPr>
        <w:t xml:space="preserve">oprávněn požadovat smluvní pokutu ve výši 0,5 % z kupní ceny ujednané v jednotlivé </w:t>
      </w:r>
      <w:r w:rsidR="00F93002" w:rsidRPr="00CB2F55">
        <w:rPr>
          <w:rFonts w:ascii="Arial" w:hAnsi="Arial" w:cs="Arial"/>
          <w:sz w:val="22"/>
          <w:szCs w:val="22"/>
        </w:rPr>
        <w:t>písemné výzvě</w:t>
      </w:r>
      <w:r w:rsidRPr="00CB2F55">
        <w:rPr>
          <w:rFonts w:ascii="Arial" w:hAnsi="Arial" w:cs="Arial"/>
          <w:sz w:val="22"/>
          <w:szCs w:val="22"/>
        </w:rPr>
        <w:t xml:space="preserve"> za každý i započatý den prodlení, nejvýše však do výše ceny daného </w:t>
      </w:r>
      <w:r w:rsidR="00353F87" w:rsidRPr="00CB2F55">
        <w:rPr>
          <w:rFonts w:ascii="Arial" w:hAnsi="Arial" w:cs="Arial"/>
          <w:sz w:val="22"/>
          <w:szCs w:val="22"/>
        </w:rPr>
        <w:t>dílčího plnění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674C70" w:rsidRDefault="00674C70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porušení ustanovení dle bodu V. 4 této dohody je kupující oprávněn požadovat smluvní pokutu ve výši 1.000,- Kč za každý jednotlivý případ a není oprávněn odebrat objednané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Zaplacením smluvní pokuty není dotčeno právo </w:t>
      </w:r>
      <w:r w:rsidR="00F562BD" w:rsidRPr="00CB2F55">
        <w:rPr>
          <w:rFonts w:ascii="Arial" w:hAnsi="Arial" w:cs="Arial"/>
          <w:sz w:val="22"/>
          <w:szCs w:val="22"/>
        </w:rPr>
        <w:t xml:space="preserve">kupujícího </w:t>
      </w:r>
      <w:r w:rsidRPr="00CB2F55">
        <w:rPr>
          <w:rFonts w:ascii="Arial" w:hAnsi="Arial" w:cs="Arial"/>
          <w:sz w:val="22"/>
          <w:szCs w:val="22"/>
        </w:rPr>
        <w:t xml:space="preserve">domáhat se náhrady škody vzniklé nedodáním </w:t>
      </w:r>
      <w:r w:rsidR="00353F87" w:rsidRPr="00CB2F55">
        <w:rPr>
          <w:rFonts w:ascii="Arial" w:hAnsi="Arial" w:cs="Arial"/>
          <w:sz w:val="22"/>
          <w:szCs w:val="22"/>
        </w:rPr>
        <w:t xml:space="preserve">dílčího plnění kompletně a </w:t>
      </w:r>
      <w:r w:rsidRPr="00CB2F55">
        <w:rPr>
          <w:rFonts w:ascii="Arial" w:hAnsi="Arial" w:cs="Arial"/>
          <w:sz w:val="22"/>
          <w:szCs w:val="22"/>
        </w:rPr>
        <w:t>včas.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493FAC" w:rsidP="001176F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Smluvní pokuta je splatná do 10 dnů ode dne porušení povinnosti, která zakládá její nárok.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>
        <w:rPr>
          <w:rFonts w:ascii="Arial" w:hAnsi="Arial" w:cs="Arial"/>
          <w:sz w:val="22"/>
          <w:szCs w:val="22"/>
        </w:rPr>
        <w:t>13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F562BD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Kupující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 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</w:t>
      </w:r>
      <w:r w:rsidRPr="00CB2F55">
        <w:rPr>
          <w:rFonts w:ascii="Arial" w:hAnsi="Arial" w:cs="Arial"/>
          <w:sz w:val="22"/>
          <w:szCs w:val="22"/>
        </w:rPr>
        <w:lastRenderedPageBreak/>
        <w:t xml:space="preserve">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r w:rsidRPr="00CB2F55">
        <w:rPr>
          <w:rFonts w:ascii="Arial" w:hAnsi="Arial" w:cs="Arial"/>
          <w:sz w:val="22"/>
          <w:szCs w:val="22"/>
        </w:rPr>
        <w:t>1</w:t>
      </w:r>
      <w:r w:rsidR="00DD5EC2">
        <w:rPr>
          <w:rFonts w:ascii="Arial" w:hAnsi="Arial" w:cs="Arial"/>
          <w:sz w:val="22"/>
          <w:szCs w:val="22"/>
        </w:rPr>
        <w:t>3</w:t>
      </w:r>
      <w:r w:rsidR="00353F87" w:rsidRPr="00CB2F55">
        <w:rPr>
          <w:rFonts w:ascii="Arial" w:hAnsi="Arial" w:cs="Arial"/>
          <w:sz w:val="22"/>
          <w:szCs w:val="22"/>
        </w:rPr>
        <w:t>-ti</w:t>
      </w:r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 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rámcová dohoda</w:t>
      </w:r>
      <w:r w:rsidRPr="00184558">
        <w:rPr>
          <w:rFonts w:ascii="Arial" w:hAnsi="Arial" w:cs="Arial"/>
          <w:sz w:val="22"/>
          <w:szCs w:val="22"/>
        </w:rPr>
        <w:t xml:space="preserve"> byla vyhotovena ve čtyřech  (4) stejnopisech s platností originálu, přičemž Prodávající obdrží jedno (1) a Kupující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Kupující.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 takovým způsobem, aby došlo ke konvalidaci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Nedílnou součástí této smlouvy je příloha č.1 – </w:t>
      </w:r>
      <w:r>
        <w:rPr>
          <w:rFonts w:ascii="Arial" w:hAnsi="Arial" w:cs="Arial"/>
          <w:sz w:val="22"/>
          <w:szCs w:val="22"/>
        </w:rPr>
        <w:t>Položková nabídka účastníka.</w:t>
      </w:r>
    </w:p>
    <w:p w:rsidR="00CA68DA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FE1E0D" w:rsidRPr="00CB2F55" w:rsidRDefault="00C63C86" w:rsidP="00C63C86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Příloh</w:t>
      </w:r>
      <w:r w:rsidR="00FE1E0D" w:rsidRPr="00CB2F55">
        <w:rPr>
          <w:rFonts w:ascii="Arial" w:hAnsi="Arial" w:cs="Arial"/>
          <w:sz w:val="22"/>
          <w:szCs w:val="22"/>
        </w:rPr>
        <w:t>y:</w:t>
      </w:r>
    </w:p>
    <w:p w:rsidR="00FE1E0D" w:rsidRPr="00CB2F55" w:rsidRDefault="00FE1E0D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Pr="00CB2F55" w:rsidRDefault="00CB2F55" w:rsidP="00C63C86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lastRenderedPageBreak/>
        <w:t xml:space="preserve">Příloha </w:t>
      </w:r>
      <w:r w:rsidR="00C63C86" w:rsidRPr="00CB2F55">
        <w:rPr>
          <w:rFonts w:ascii="Arial" w:hAnsi="Arial" w:cs="Arial"/>
          <w:i/>
          <w:sz w:val="22"/>
          <w:szCs w:val="22"/>
          <w:highlight w:val="yellow"/>
        </w:rPr>
        <w:t>č. 1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 – 6 </w:t>
      </w:r>
      <w:r w:rsidR="00157B46" w:rsidRPr="00CB2F55">
        <w:rPr>
          <w:rFonts w:ascii="Arial" w:hAnsi="Arial" w:cs="Arial"/>
          <w:i/>
          <w:sz w:val="22"/>
          <w:szCs w:val="22"/>
          <w:highlight w:val="yellow"/>
        </w:rPr>
        <w:t>Položkov</w:t>
      </w:r>
      <w:r w:rsidR="00FE1E0D" w:rsidRPr="00CB2F55">
        <w:rPr>
          <w:rFonts w:ascii="Arial" w:hAnsi="Arial" w:cs="Arial"/>
          <w:i/>
          <w:sz w:val="22"/>
          <w:szCs w:val="22"/>
          <w:highlight w:val="yellow"/>
        </w:rPr>
        <w:t>á</w:t>
      </w:r>
      <w:r w:rsidR="00157B46" w:rsidRPr="00CB2F55">
        <w:rPr>
          <w:rFonts w:ascii="Arial" w:hAnsi="Arial" w:cs="Arial"/>
          <w:i/>
          <w:sz w:val="22"/>
          <w:szCs w:val="22"/>
          <w:highlight w:val="yellow"/>
        </w:rPr>
        <w:t xml:space="preserve"> nabídk</w:t>
      </w:r>
      <w:r w:rsidR="00FE1E0D" w:rsidRPr="00CB2F55">
        <w:rPr>
          <w:rFonts w:ascii="Arial" w:hAnsi="Arial" w:cs="Arial"/>
          <w:i/>
          <w:sz w:val="22"/>
          <w:szCs w:val="22"/>
          <w:highlight w:val="yellow"/>
        </w:rPr>
        <w:t>a</w:t>
      </w:r>
      <w:r w:rsidR="00157B46" w:rsidRPr="00CB2F55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184558">
        <w:rPr>
          <w:rFonts w:ascii="Arial" w:hAnsi="Arial" w:cs="Arial"/>
          <w:i/>
          <w:sz w:val="22"/>
          <w:szCs w:val="22"/>
          <w:highlight w:val="yellow"/>
        </w:rPr>
        <w:t>účastníka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 (příloh</w:t>
      </w:r>
      <w:r w:rsidR="007038CD" w:rsidRPr="00CB2F55">
        <w:rPr>
          <w:rFonts w:ascii="Arial" w:hAnsi="Arial" w:cs="Arial"/>
          <w:i/>
          <w:sz w:val="22"/>
          <w:szCs w:val="22"/>
          <w:highlight w:val="yellow"/>
        </w:rPr>
        <w:t>y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C54D05" w:rsidRPr="00CB2F55">
        <w:rPr>
          <w:rFonts w:ascii="Arial" w:hAnsi="Arial" w:cs="Arial"/>
          <w:i/>
          <w:sz w:val="22"/>
          <w:szCs w:val="22"/>
          <w:highlight w:val="yellow"/>
        </w:rPr>
        <w:t xml:space="preserve">uvede </w:t>
      </w:r>
      <w:r w:rsidR="000D7326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54D05" w:rsidRPr="00CB2F55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dle toho, </w:t>
      </w:r>
      <w:r w:rsidR="00C54D05" w:rsidRPr="00CB2F55">
        <w:rPr>
          <w:rFonts w:ascii="Arial" w:hAnsi="Arial" w:cs="Arial"/>
          <w:i/>
          <w:sz w:val="22"/>
          <w:szCs w:val="22"/>
          <w:highlight w:val="yellow"/>
        </w:rPr>
        <w:t>na kterou z částí 1 – 6 zakázky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 podává </w:t>
      </w:r>
      <w:r w:rsidR="00184558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BD7AD8" w:rsidRPr="00CB2F55">
        <w:rPr>
          <w:rFonts w:ascii="Arial" w:hAnsi="Arial" w:cs="Arial"/>
          <w:i/>
          <w:sz w:val="22"/>
          <w:szCs w:val="22"/>
          <w:highlight w:val="yellow"/>
        </w:rPr>
        <w:t xml:space="preserve"> nabídku</w:t>
      </w:r>
      <w:r w:rsidRPr="00CB2F55">
        <w:rPr>
          <w:rFonts w:ascii="Arial" w:hAnsi="Arial" w:cs="Arial"/>
          <w:i/>
          <w:sz w:val="22"/>
          <w:szCs w:val="22"/>
          <w:highlight w:val="yellow"/>
        </w:rPr>
        <w:t>, poté tuto poznámku odstraní)</w:t>
      </w:r>
    </w:p>
    <w:p w:rsidR="001E0110" w:rsidRPr="00CB2F55" w:rsidRDefault="001E0110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Brně dne …………………………..</w:t>
      </w:r>
      <w:r>
        <w:rPr>
          <w:rFonts w:ascii="Arial" w:hAnsi="Arial" w:cs="Arial"/>
          <w:sz w:val="22"/>
          <w:szCs w:val="22"/>
        </w:rPr>
        <w:t xml:space="preserve">                    V ……………… d</w:t>
      </w:r>
      <w:r w:rsidRPr="00CB2F55">
        <w:rPr>
          <w:rFonts w:ascii="Arial" w:hAnsi="Arial" w:cs="Arial"/>
          <w:sz w:val="22"/>
          <w:szCs w:val="22"/>
        </w:rPr>
        <w:t>ne………</w:t>
      </w:r>
      <w:r>
        <w:rPr>
          <w:rFonts w:ascii="Arial" w:hAnsi="Arial" w:cs="Arial"/>
          <w:sz w:val="22"/>
          <w:szCs w:val="22"/>
        </w:rPr>
        <w:t>…..</w:t>
      </w:r>
      <w:r w:rsidRPr="00CB2F55">
        <w:rPr>
          <w:rFonts w:ascii="Arial" w:hAnsi="Arial" w:cs="Arial"/>
          <w:sz w:val="22"/>
          <w:szCs w:val="22"/>
        </w:rPr>
        <w:t>…</w:t>
      </w: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Za Kupujícího                                                                   Za Prodávajícího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………………………………………………            …..………………………………………….</w:t>
      </w:r>
    </w:p>
    <w:p w:rsidR="00CB2F55" w:rsidRPr="00CB2F55" w:rsidRDefault="00CB2F55" w:rsidP="00CB2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B2F55">
        <w:rPr>
          <w:rFonts w:ascii="Arial" w:hAnsi="Arial" w:cs="Arial"/>
          <w:sz w:val="22"/>
          <w:szCs w:val="22"/>
        </w:rPr>
        <w:t xml:space="preserve">prof. Ing. Danuše Nerudová, Ph.D. </w:t>
      </w:r>
    </w:p>
    <w:p w:rsidR="00CB2F55" w:rsidRPr="00CB2F55" w:rsidRDefault="00CB2F55" w:rsidP="00CB2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B2F55">
        <w:rPr>
          <w:rFonts w:ascii="Arial" w:hAnsi="Arial" w:cs="Arial"/>
          <w:sz w:val="22"/>
          <w:szCs w:val="22"/>
        </w:rPr>
        <w:t>rektorka Mendelovy univerzity</w:t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  <w:t xml:space="preserve">  </w:t>
      </w:r>
      <w:r w:rsidRPr="00CB2F55">
        <w:rPr>
          <w:rFonts w:ascii="Arial" w:hAnsi="Arial" w:cs="Arial"/>
          <w:i/>
          <w:kern w:val="28"/>
          <w:sz w:val="22"/>
          <w:szCs w:val="22"/>
          <w:highlight w:val="yellow"/>
        </w:rPr>
        <w:t>Titul, jméno, příjmení, funkce</w:t>
      </w:r>
      <w:r w:rsidRPr="00CB2F55">
        <w:rPr>
          <w:rFonts w:ascii="Arial" w:hAnsi="Arial" w:cs="Arial"/>
          <w:sz w:val="22"/>
          <w:szCs w:val="22"/>
        </w:rPr>
        <w:t xml:space="preserve"> </w:t>
      </w:r>
    </w:p>
    <w:p w:rsidR="00F17749" w:rsidRPr="00CB2F55" w:rsidRDefault="00CB2F55" w:rsidP="00CB2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76F8" w:rsidRPr="00CB2F55">
        <w:rPr>
          <w:rFonts w:ascii="Arial" w:hAnsi="Arial" w:cs="Arial"/>
          <w:sz w:val="22"/>
          <w:szCs w:val="22"/>
        </w:rPr>
        <w:tab/>
      </w:r>
      <w:r w:rsidR="001176F8" w:rsidRPr="00CB2F55">
        <w:rPr>
          <w:rFonts w:ascii="Arial" w:hAnsi="Arial" w:cs="Arial"/>
          <w:sz w:val="22"/>
          <w:szCs w:val="22"/>
        </w:rPr>
        <w:tab/>
      </w:r>
      <w:r w:rsidR="001176F8" w:rsidRPr="00CB2F55">
        <w:rPr>
          <w:rFonts w:ascii="Arial" w:hAnsi="Arial" w:cs="Arial"/>
          <w:sz w:val="22"/>
          <w:szCs w:val="22"/>
        </w:rPr>
        <w:tab/>
      </w:r>
    </w:p>
    <w:p w:rsidR="00F17749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2D48FB" w:rsidRDefault="001176F8" w:rsidP="001176F8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</w:p>
    <w:p w:rsid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2D48FB" w:rsidRPr="00CB2F55" w:rsidRDefault="002D48FB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…………………………………..</w:t>
      </w:r>
    </w:p>
    <w:p w:rsidR="002D48FB" w:rsidRPr="00CB2F55" w:rsidRDefault="002D48FB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        Ing. Lujza Oravcová,</w:t>
      </w:r>
    </w:p>
    <w:p w:rsidR="002D48FB" w:rsidRPr="00CB2F55" w:rsidRDefault="001176F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        </w:t>
      </w:r>
      <w:r w:rsidR="0032759C" w:rsidRPr="00CB2F55">
        <w:rPr>
          <w:rFonts w:ascii="Arial" w:hAnsi="Arial" w:cs="Arial"/>
          <w:sz w:val="22"/>
          <w:szCs w:val="22"/>
        </w:rPr>
        <w:t xml:space="preserve">         </w:t>
      </w:r>
      <w:r w:rsidR="002D48FB" w:rsidRPr="00CB2F55">
        <w:rPr>
          <w:rFonts w:ascii="Arial" w:hAnsi="Arial" w:cs="Arial"/>
          <w:sz w:val="22"/>
          <w:szCs w:val="22"/>
        </w:rPr>
        <w:t>kvestorka</w:t>
      </w:r>
    </w:p>
    <w:sectPr w:rsidR="002D48FB" w:rsidRPr="00CB2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CD" w:rsidRDefault="00B423CD" w:rsidP="00BD7AD8">
      <w:r>
        <w:separator/>
      </w:r>
    </w:p>
  </w:endnote>
  <w:endnote w:type="continuationSeparator" w:id="0">
    <w:p w:rsidR="00B423CD" w:rsidRDefault="00B423CD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FC">
          <w:rPr>
            <w:noProof/>
          </w:rPr>
          <w:t>5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CD" w:rsidRDefault="00B423CD" w:rsidP="00BD7AD8">
      <w:r>
        <w:separator/>
      </w:r>
    </w:p>
  </w:footnote>
  <w:footnote w:type="continuationSeparator" w:id="0">
    <w:p w:rsidR="00B423CD" w:rsidRDefault="00B423CD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1" w:rsidRDefault="00CB2F55" w:rsidP="00CB2F55">
    <w:pPr>
      <w:pStyle w:val="Zhlav"/>
    </w:pPr>
    <w:r>
      <w:rPr>
        <w:noProof/>
      </w:rPr>
      <w:drawing>
        <wp:inline distT="0" distB="0" distL="0" distR="0" wp14:anchorId="59B44354" wp14:editId="7387C5EE">
          <wp:extent cx="932180" cy="73152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4950"/>
    <w:rsid w:val="000847AD"/>
    <w:rsid w:val="000957FF"/>
    <w:rsid w:val="00097B5F"/>
    <w:rsid w:val="000C60CA"/>
    <w:rsid w:val="000D7326"/>
    <w:rsid w:val="000E13E1"/>
    <w:rsid w:val="000E7952"/>
    <w:rsid w:val="00103B9E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D0759"/>
    <w:rsid w:val="002D48FB"/>
    <w:rsid w:val="002D4F81"/>
    <w:rsid w:val="002E59DE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B67FC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429B1"/>
    <w:rsid w:val="004578C5"/>
    <w:rsid w:val="004630E7"/>
    <w:rsid w:val="00465B06"/>
    <w:rsid w:val="00492668"/>
    <w:rsid w:val="00493E6B"/>
    <w:rsid w:val="00493FAC"/>
    <w:rsid w:val="004A2C0A"/>
    <w:rsid w:val="004A60A2"/>
    <w:rsid w:val="004B75EB"/>
    <w:rsid w:val="00513054"/>
    <w:rsid w:val="005432D3"/>
    <w:rsid w:val="00572F89"/>
    <w:rsid w:val="00581E4D"/>
    <w:rsid w:val="0058597F"/>
    <w:rsid w:val="005A4A5C"/>
    <w:rsid w:val="005B115D"/>
    <w:rsid w:val="005D1ADD"/>
    <w:rsid w:val="005D3B8D"/>
    <w:rsid w:val="005E55AB"/>
    <w:rsid w:val="006022EB"/>
    <w:rsid w:val="00607083"/>
    <w:rsid w:val="0061057C"/>
    <w:rsid w:val="00610F45"/>
    <w:rsid w:val="006354B5"/>
    <w:rsid w:val="00644187"/>
    <w:rsid w:val="00650124"/>
    <w:rsid w:val="00674C70"/>
    <w:rsid w:val="00675B1C"/>
    <w:rsid w:val="00695157"/>
    <w:rsid w:val="006C256F"/>
    <w:rsid w:val="006C45E6"/>
    <w:rsid w:val="006E0289"/>
    <w:rsid w:val="007038CD"/>
    <w:rsid w:val="00721DAD"/>
    <w:rsid w:val="00722F47"/>
    <w:rsid w:val="00737091"/>
    <w:rsid w:val="00745E4A"/>
    <w:rsid w:val="00762191"/>
    <w:rsid w:val="007851C7"/>
    <w:rsid w:val="0078531A"/>
    <w:rsid w:val="0079194F"/>
    <w:rsid w:val="007B257F"/>
    <w:rsid w:val="007B4DD8"/>
    <w:rsid w:val="007C51C2"/>
    <w:rsid w:val="007E4C99"/>
    <w:rsid w:val="007F0065"/>
    <w:rsid w:val="0080012C"/>
    <w:rsid w:val="00801E8C"/>
    <w:rsid w:val="00837A91"/>
    <w:rsid w:val="008576D8"/>
    <w:rsid w:val="008628B6"/>
    <w:rsid w:val="0086412D"/>
    <w:rsid w:val="00882110"/>
    <w:rsid w:val="008A776B"/>
    <w:rsid w:val="008B76E6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8DE"/>
    <w:rsid w:val="00962B3F"/>
    <w:rsid w:val="00963FCC"/>
    <w:rsid w:val="00964F41"/>
    <w:rsid w:val="0097093A"/>
    <w:rsid w:val="00984B70"/>
    <w:rsid w:val="009938D3"/>
    <w:rsid w:val="009A7009"/>
    <w:rsid w:val="009B0F6C"/>
    <w:rsid w:val="009C3CF1"/>
    <w:rsid w:val="009E691A"/>
    <w:rsid w:val="009F5896"/>
    <w:rsid w:val="00A02CF9"/>
    <w:rsid w:val="00A11973"/>
    <w:rsid w:val="00A17FF7"/>
    <w:rsid w:val="00A20C64"/>
    <w:rsid w:val="00A22A67"/>
    <w:rsid w:val="00A22D5A"/>
    <w:rsid w:val="00A25C5C"/>
    <w:rsid w:val="00A3779D"/>
    <w:rsid w:val="00A434C5"/>
    <w:rsid w:val="00A643C9"/>
    <w:rsid w:val="00A76665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F6662"/>
    <w:rsid w:val="00C03747"/>
    <w:rsid w:val="00C23AAF"/>
    <w:rsid w:val="00C35616"/>
    <w:rsid w:val="00C35FC3"/>
    <w:rsid w:val="00C54D05"/>
    <w:rsid w:val="00C57CB4"/>
    <w:rsid w:val="00C63C86"/>
    <w:rsid w:val="00C649C9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C000B"/>
    <w:rsid w:val="00CC1504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A048E"/>
    <w:rsid w:val="00DB075B"/>
    <w:rsid w:val="00DB43FA"/>
    <w:rsid w:val="00DC053F"/>
    <w:rsid w:val="00DD5EC2"/>
    <w:rsid w:val="00DE6E99"/>
    <w:rsid w:val="00DE766E"/>
    <w:rsid w:val="00E00185"/>
    <w:rsid w:val="00E230C5"/>
    <w:rsid w:val="00E27918"/>
    <w:rsid w:val="00E50D5E"/>
    <w:rsid w:val="00E57C29"/>
    <w:rsid w:val="00E71468"/>
    <w:rsid w:val="00E773AD"/>
    <w:rsid w:val="00E838BD"/>
    <w:rsid w:val="00EA154F"/>
    <w:rsid w:val="00EC1BD3"/>
    <w:rsid w:val="00EC6910"/>
    <w:rsid w:val="00EF3AB6"/>
    <w:rsid w:val="00F02913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07B4DD"/>
  <w15:docId w15:val="{BCC5B9BB-C550-43B3-89FE-09AB3B2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6B27-5F47-4661-8814-4EB3A33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2094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Uživatel systému Windows</cp:lastModifiedBy>
  <cp:revision>25</cp:revision>
  <cp:lastPrinted>2018-04-12T12:30:00Z</cp:lastPrinted>
  <dcterms:created xsi:type="dcterms:W3CDTF">2016-03-07T13:26:00Z</dcterms:created>
  <dcterms:modified xsi:type="dcterms:W3CDTF">2018-04-12T12:30:00Z</dcterms:modified>
</cp:coreProperties>
</file>