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8C69" w14:textId="77777777" w:rsidR="00351AAF" w:rsidRPr="002002CA" w:rsidRDefault="00701583">
      <w:pPr>
        <w:pStyle w:val="Heading10"/>
        <w:keepNext/>
        <w:keepLines/>
        <w:shd w:val="clear" w:color="auto" w:fill="auto"/>
        <w:spacing w:after="135" w:line="220" w:lineRule="exact"/>
        <w:ind w:right="20"/>
        <w:rPr>
          <w:rFonts w:ascii="Arial CE" w:hAnsi="Arial CE" w:cs="Times New Roman"/>
          <w:sz w:val="24"/>
          <w:szCs w:val="24"/>
        </w:rPr>
      </w:pPr>
      <w:bookmarkStart w:id="0" w:name="bookmark0"/>
      <w:r w:rsidRPr="002002CA">
        <w:rPr>
          <w:rStyle w:val="Heading11"/>
          <w:rFonts w:ascii="Arial CE" w:hAnsi="Arial CE" w:cs="Times New Roman"/>
          <w:b/>
          <w:bCs/>
          <w:sz w:val="24"/>
          <w:szCs w:val="24"/>
        </w:rPr>
        <w:t>Zadání - t</w:t>
      </w:r>
      <w:r w:rsidR="002B28C1" w:rsidRPr="002002CA">
        <w:rPr>
          <w:rStyle w:val="Heading11"/>
          <w:rFonts w:ascii="Arial CE" w:hAnsi="Arial CE" w:cs="Times New Roman"/>
          <w:b/>
          <w:bCs/>
          <w:sz w:val="24"/>
          <w:szCs w:val="24"/>
        </w:rPr>
        <w:t>echnická specifikace poptávaného řešení</w:t>
      </w:r>
      <w:bookmarkEnd w:id="0"/>
    </w:p>
    <w:p w14:paraId="0434585D" w14:textId="77777777" w:rsidR="00701583" w:rsidRPr="002002CA" w:rsidRDefault="00701583">
      <w:pPr>
        <w:pStyle w:val="Bodytext30"/>
        <w:shd w:val="clear" w:color="auto" w:fill="auto"/>
        <w:spacing w:before="0"/>
        <w:rPr>
          <w:rStyle w:val="Bodytext3NotBold"/>
          <w:rFonts w:ascii="Arial CE" w:hAnsi="Arial CE" w:cs="Times New Roman"/>
          <w:sz w:val="24"/>
          <w:szCs w:val="24"/>
        </w:rPr>
      </w:pPr>
    </w:p>
    <w:p w14:paraId="672E8E72" w14:textId="77777777" w:rsidR="00701583" w:rsidRPr="009256A4" w:rsidRDefault="002B28C1" w:rsidP="00701583">
      <w:pPr>
        <w:pStyle w:val="Bodytext30"/>
        <w:shd w:val="clear" w:color="auto" w:fill="auto"/>
        <w:spacing w:before="0"/>
        <w:ind w:firstLine="708"/>
        <w:rPr>
          <w:rStyle w:val="Bodytext3NotBold"/>
          <w:rFonts w:ascii="Arial CE" w:hAnsi="Arial CE" w:cs="Times New Roman"/>
          <w:sz w:val="20"/>
          <w:szCs w:val="20"/>
        </w:rPr>
      </w:pPr>
      <w:r w:rsidRPr="009256A4">
        <w:rPr>
          <w:rStyle w:val="Bodytext3NotBold"/>
          <w:rFonts w:ascii="Arial CE" w:hAnsi="Arial CE" w:cs="Times New Roman"/>
          <w:sz w:val="20"/>
          <w:szCs w:val="20"/>
        </w:rPr>
        <w:t xml:space="preserve">Tento dokument popisuje detailní technické a funkční požadavky poptávaného řešení na </w:t>
      </w:r>
    </w:p>
    <w:p w14:paraId="55BEE8D5" w14:textId="77777777" w:rsidR="000E03CF" w:rsidRPr="009256A4" w:rsidRDefault="000E03CF" w:rsidP="00701583">
      <w:pPr>
        <w:pStyle w:val="Bodytext30"/>
        <w:shd w:val="clear" w:color="auto" w:fill="auto"/>
        <w:spacing w:before="0"/>
        <w:jc w:val="center"/>
        <w:rPr>
          <w:rFonts w:ascii="Arial CE" w:hAnsi="Arial CE" w:cs="Times New Roman"/>
          <w:sz w:val="20"/>
          <w:szCs w:val="20"/>
        </w:rPr>
      </w:pPr>
    </w:p>
    <w:p w14:paraId="001BA121" w14:textId="76ED87BF" w:rsidR="00701583" w:rsidRPr="009256A4" w:rsidRDefault="002B28C1" w:rsidP="00701583">
      <w:pPr>
        <w:pStyle w:val="Bodytext30"/>
        <w:shd w:val="clear" w:color="auto" w:fill="auto"/>
        <w:spacing w:before="0"/>
        <w:jc w:val="center"/>
        <w:rPr>
          <w:rFonts w:ascii="Arial CE" w:hAnsi="Arial CE" w:cs="Times New Roman"/>
          <w:sz w:val="20"/>
          <w:szCs w:val="20"/>
        </w:rPr>
      </w:pPr>
      <w:r w:rsidRPr="009256A4">
        <w:rPr>
          <w:rFonts w:ascii="Arial CE" w:hAnsi="Arial CE" w:cs="Times New Roman"/>
          <w:sz w:val="20"/>
          <w:szCs w:val="20"/>
        </w:rPr>
        <w:t>Dodávku a implementaci</w:t>
      </w:r>
    </w:p>
    <w:p w14:paraId="3F01302D" w14:textId="77777777" w:rsidR="00351AAF" w:rsidRPr="009256A4" w:rsidRDefault="00701583" w:rsidP="00701583">
      <w:pPr>
        <w:pStyle w:val="Bodytext30"/>
        <w:shd w:val="clear" w:color="auto" w:fill="auto"/>
        <w:spacing w:before="0"/>
        <w:rPr>
          <w:rFonts w:ascii="Arial CE" w:hAnsi="Arial CE" w:cs="Times New Roman"/>
          <w:sz w:val="20"/>
          <w:szCs w:val="20"/>
        </w:rPr>
      </w:pPr>
      <w:r w:rsidRPr="009256A4">
        <w:rPr>
          <w:rFonts w:ascii="Arial CE" w:hAnsi="Arial CE" w:cs="Times New Roman"/>
          <w:sz w:val="20"/>
          <w:szCs w:val="20"/>
        </w:rPr>
        <w:t>“</w:t>
      </w:r>
      <w:r w:rsidR="002B28C1" w:rsidRPr="009256A4">
        <w:rPr>
          <w:rFonts w:ascii="Arial CE" w:hAnsi="Arial CE" w:cs="Times New Roman"/>
          <w:sz w:val="20"/>
          <w:szCs w:val="20"/>
        </w:rPr>
        <w:t>Softwarové podpory pro správu nemovitostí Mendelovy univerzity</w:t>
      </w:r>
      <w:r w:rsidRPr="009256A4">
        <w:rPr>
          <w:rFonts w:ascii="Arial CE" w:hAnsi="Arial CE" w:cs="Times New Roman"/>
          <w:sz w:val="20"/>
          <w:szCs w:val="20"/>
        </w:rPr>
        <w:t xml:space="preserve"> a jejich provozních nákladů</w:t>
      </w:r>
      <w:r w:rsidR="002B28C1" w:rsidRPr="009256A4">
        <w:rPr>
          <w:rFonts w:ascii="Arial CE" w:hAnsi="Arial CE" w:cs="Times New Roman"/>
          <w:sz w:val="20"/>
          <w:szCs w:val="20"/>
        </w:rPr>
        <w:t>".</w:t>
      </w:r>
    </w:p>
    <w:p w14:paraId="62081854" w14:textId="77777777" w:rsidR="002002CA" w:rsidRDefault="002002CA" w:rsidP="00701583">
      <w:pPr>
        <w:pStyle w:val="Bodytext20"/>
        <w:shd w:val="clear" w:color="auto" w:fill="auto"/>
        <w:spacing w:before="0" w:after="178"/>
        <w:ind w:firstLine="0"/>
        <w:rPr>
          <w:rFonts w:ascii="Arial CE" w:hAnsi="Arial CE" w:cs="Times New Roman"/>
          <w:sz w:val="24"/>
          <w:szCs w:val="24"/>
        </w:rPr>
      </w:pPr>
    </w:p>
    <w:p w14:paraId="2BA2093D" w14:textId="1B59E7F3" w:rsidR="00351AAF" w:rsidRPr="00884C5D" w:rsidRDefault="002B28C1" w:rsidP="00701583">
      <w:pPr>
        <w:pStyle w:val="Bodytext20"/>
        <w:shd w:val="clear" w:color="auto" w:fill="auto"/>
        <w:spacing w:before="0" w:after="178"/>
        <w:ind w:firstLine="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Předmětem dodávky a související implementace je komplexní funkční řešení pro </w:t>
      </w:r>
      <w:r w:rsidR="00701583" w:rsidRPr="00884C5D">
        <w:rPr>
          <w:rFonts w:ascii="Arial CE" w:hAnsi="Arial CE" w:cs="Times New Roman"/>
          <w:sz w:val="20"/>
          <w:szCs w:val="20"/>
        </w:rPr>
        <w:t>p</w:t>
      </w:r>
      <w:r w:rsidRPr="00884C5D">
        <w:rPr>
          <w:rFonts w:ascii="Arial CE" w:hAnsi="Arial CE" w:cs="Times New Roman"/>
          <w:sz w:val="20"/>
          <w:szCs w:val="20"/>
        </w:rPr>
        <w:t>otřeby správy nemovitostí Zadavatele v rozsahu uvedeném níže. Cílem této dodávky je současně nahrazení stávajícího řešení.</w:t>
      </w:r>
    </w:p>
    <w:p w14:paraId="024937B0" w14:textId="5DDF0FCA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2"/>
        </w:tabs>
        <w:spacing w:after="139" w:line="220" w:lineRule="exact"/>
        <w:jc w:val="both"/>
        <w:rPr>
          <w:rFonts w:ascii="Arial CE" w:hAnsi="Arial CE" w:cs="Times New Roman"/>
          <w:sz w:val="20"/>
          <w:szCs w:val="20"/>
          <w:u w:val="single"/>
        </w:rPr>
      </w:pPr>
      <w:bookmarkStart w:id="1" w:name="bookmark1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Rozsah a oblasti poptávaného řešení:</w:t>
      </w:r>
      <w:bookmarkEnd w:id="1"/>
    </w:p>
    <w:p w14:paraId="4DEA1C33" w14:textId="0D57E183" w:rsidR="00351AAF" w:rsidRPr="00884C5D" w:rsidRDefault="002B28C1" w:rsidP="00701583">
      <w:pPr>
        <w:pStyle w:val="Bodytext20"/>
        <w:shd w:val="clear" w:color="auto" w:fill="auto"/>
        <w:spacing w:before="0" w:after="0" w:line="288" w:lineRule="exact"/>
        <w:ind w:firstLine="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Součástí poptávaného řešení je nástroj pro pasportizaci všech prostor Zadavatele v rozsahu do</w:t>
      </w:r>
      <w:r w:rsidR="00701583" w:rsidRPr="00884C5D">
        <w:rPr>
          <w:rFonts w:ascii="Arial CE" w:hAnsi="Arial CE" w:cs="Times New Roman"/>
          <w:sz w:val="20"/>
          <w:szCs w:val="20"/>
        </w:rPr>
        <w:t xml:space="preserve">100 </w:t>
      </w:r>
      <w:r w:rsidRPr="00884C5D">
        <w:rPr>
          <w:rFonts w:ascii="Arial CE" w:hAnsi="Arial CE" w:cs="Times New Roman"/>
          <w:sz w:val="20"/>
          <w:szCs w:val="20"/>
        </w:rPr>
        <w:t>budov a dále procesy a nadstavbové oblasti uvedené níže. S aplikací v roli „správce majetku" bude</w:t>
      </w:r>
      <w:r w:rsidR="00701583" w:rsidRPr="00884C5D">
        <w:rPr>
          <w:rFonts w:ascii="Arial CE" w:hAnsi="Arial CE" w:cs="Times New Roman"/>
          <w:sz w:val="20"/>
          <w:szCs w:val="20"/>
        </w:rPr>
        <w:t xml:space="preserve"> </w:t>
      </w:r>
      <w:r w:rsidRPr="00884C5D">
        <w:rPr>
          <w:rFonts w:ascii="Arial CE" w:hAnsi="Arial CE" w:cs="Times New Roman"/>
          <w:sz w:val="20"/>
          <w:szCs w:val="20"/>
        </w:rPr>
        <w:t xml:space="preserve">pracovat cca. 30 uživatelů a počet ostatních uživatelů (např. zadavatelů požadavků) </w:t>
      </w:r>
      <w:r w:rsidR="00B94AE2" w:rsidRPr="00884C5D">
        <w:rPr>
          <w:rFonts w:ascii="Arial CE" w:hAnsi="Arial CE" w:cs="Times New Roman"/>
          <w:sz w:val="20"/>
          <w:szCs w:val="20"/>
        </w:rPr>
        <w:t xml:space="preserve">mohou být </w:t>
      </w:r>
      <w:r w:rsidRPr="00884C5D">
        <w:rPr>
          <w:rFonts w:ascii="Arial CE" w:hAnsi="Arial CE" w:cs="Times New Roman"/>
          <w:sz w:val="20"/>
          <w:szCs w:val="20"/>
        </w:rPr>
        <w:t xml:space="preserve">řádově </w:t>
      </w:r>
      <w:r w:rsidR="00B94AE2" w:rsidRPr="00884C5D">
        <w:rPr>
          <w:rFonts w:ascii="Arial CE" w:hAnsi="Arial CE" w:cs="Times New Roman"/>
          <w:sz w:val="20"/>
          <w:szCs w:val="20"/>
        </w:rPr>
        <w:t>stovky/</w:t>
      </w:r>
      <w:r w:rsidRPr="00884C5D">
        <w:rPr>
          <w:rFonts w:ascii="Arial CE" w:hAnsi="Arial CE" w:cs="Times New Roman"/>
          <w:sz w:val="20"/>
          <w:szCs w:val="20"/>
        </w:rPr>
        <w:t>tisíce.</w:t>
      </w:r>
    </w:p>
    <w:p w14:paraId="7F730579" w14:textId="77777777" w:rsidR="000E03CF" w:rsidRPr="00884C5D" w:rsidRDefault="000E03CF" w:rsidP="00701583">
      <w:pPr>
        <w:pStyle w:val="Bodytext20"/>
        <w:shd w:val="clear" w:color="auto" w:fill="auto"/>
        <w:spacing w:before="0" w:after="0" w:line="288" w:lineRule="exact"/>
        <w:ind w:firstLine="0"/>
        <w:rPr>
          <w:rFonts w:ascii="Arial CE" w:hAnsi="Arial CE" w:cs="Times New Roman"/>
          <w:sz w:val="20"/>
          <w:szCs w:val="20"/>
        </w:rPr>
      </w:pPr>
    </w:p>
    <w:p w14:paraId="2948B263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Základní pasportizace a agenda související s evidencí (vše v detailu níže):</w:t>
      </w:r>
    </w:p>
    <w:p w14:paraId="64F052FC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Souhrnná evidence všech budov a staveb</w:t>
      </w:r>
    </w:p>
    <w:p w14:paraId="72AC7146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zaměstnanců a zadavatelů</w:t>
      </w:r>
    </w:p>
    <w:p w14:paraId="5C828190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Souhrnná evidence dodavatelů a odběratelů</w:t>
      </w:r>
    </w:p>
    <w:p w14:paraId="15B16A53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technických prvků a technologií</w:t>
      </w:r>
    </w:p>
    <w:p w14:paraId="5248B30A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CAD výkresů</w:t>
      </w:r>
    </w:p>
    <w:p w14:paraId="4A096C03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Přehled odběrných míst a související agenda odečtů energií</w:t>
      </w:r>
    </w:p>
    <w:p w14:paraId="66817FB6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 Evidence vozidel</w:t>
      </w:r>
    </w:p>
    <w:p w14:paraId="110D540B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 Evidence majetků</w:t>
      </w:r>
    </w:p>
    <w:p w14:paraId="475DE530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Provozní údržba:</w:t>
      </w:r>
    </w:p>
    <w:p w14:paraId="782E4F4E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Profylaxní údržba a incidentní helpdesk</w:t>
      </w:r>
    </w:p>
    <w:p w14:paraId="23A5609E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Fakturace a objednávky:</w:t>
      </w:r>
    </w:p>
    <w:p w14:paraId="1A785BDA" w14:textId="6E5F0DF3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8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Rozúčtování nákladů (energie, ostatní náklady na prostory atd.) pomocí rozpadových klíčů (minimálně plocha, objem, počet uživatelů)</w:t>
      </w:r>
    </w:p>
    <w:p w14:paraId="1668747E" w14:textId="77777777" w:rsidR="00351AAF" w:rsidRPr="00884C5D" w:rsidRDefault="002B28C1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9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Style w:val="Bodytext21"/>
          <w:rFonts w:ascii="Arial CE" w:hAnsi="Arial CE" w:cs="Times New Roman"/>
          <w:sz w:val="20"/>
          <w:szCs w:val="20"/>
        </w:rPr>
        <w:t>Všeobecné požadavky:</w:t>
      </w:r>
    </w:p>
    <w:p w14:paraId="4049C563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přikládání příloh libovolného typu</w:t>
      </w:r>
    </w:p>
    <w:p w14:paraId="692648F8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realizace vlastního importu dat (z MS Excel) a exportu dat (do MS Excel)</w:t>
      </w:r>
    </w:p>
    <w:p w14:paraId="7CCA4268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Uživatelský reporting (barevné tabulkové přehledy, grafy)</w:t>
      </w:r>
    </w:p>
    <w:p w14:paraId="76629AB2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98" w:lineRule="exact"/>
        <w:ind w:left="46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Tvorba vlastních polí na kartách jednotlivých „oblastí / modulů"</w:t>
      </w:r>
    </w:p>
    <w:p w14:paraId="3FD595E0" w14:textId="17F7151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248" w:line="298" w:lineRule="exact"/>
        <w:ind w:left="8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Veřejné prostředí oddělené od rozhraní pro zaměstnance správy majetku, studenti zde budou zadávat požadavky atd.</w:t>
      </w:r>
    </w:p>
    <w:p w14:paraId="7FE38BE9" w14:textId="63EFA513" w:rsidR="00351AAF" w:rsidRPr="001E4689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88" w:lineRule="exact"/>
        <w:jc w:val="both"/>
        <w:rPr>
          <w:rStyle w:val="Heading11"/>
          <w:rFonts w:ascii="Arial CE" w:hAnsi="Arial CE" w:cs="Times New Roman"/>
          <w:b/>
          <w:bCs/>
          <w:sz w:val="20"/>
          <w:szCs w:val="20"/>
          <w:u w:val="none"/>
        </w:rPr>
      </w:pPr>
      <w:bookmarkStart w:id="2" w:name="bookmark2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Očekávaný harmonogram realizace:</w:t>
      </w:r>
      <w:bookmarkEnd w:id="2"/>
      <w:r w:rsidR="0028748F">
        <w:rPr>
          <w:rStyle w:val="Heading11"/>
          <w:rFonts w:ascii="Arial CE" w:hAnsi="Arial CE" w:cs="Times New Roman"/>
          <w:sz w:val="20"/>
          <w:szCs w:val="20"/>
          <w:u w:val="none"/>
        </w:rPr>
        <w:t xml:space="preserve"> </w:t>
      </w:r>
      <w:r w:rsidR="0028748F" w:rsidRPr="0028748F">
        <w:rPr>
          <w:rStyle w:val="Heading11"/>
          <w:rFonts w:ascii="Arial CE" w:hAnsi="Arial CE" w:cs="Times New Roman"/>
          <w:sz w:val="20"/>
          <w:szCs w:val="20"/>
          <w:highlight w:val="yellow"/>
          <w:u w:val="none"/>
        </w:rPr>
        <w:t xml:space="preserve">(zažlucená pole </w:t>
      </w:r>
      <w:r w:rsidR="0028748F">
        <w:rPr>
          <w:rStyle w:val="Heading11"/>
          <w:rFonts w:ascii="Arial CE" w:hAnsi="Arial CE" w:cs="Times New Roman"/>
          <w:sz w:val="20"/>
          <w:szCs w:val="20"/>
          <w:highlight w:val="yellow"/>
          <w:u w:val="none"/>
        </w:rPr>
        <w:t xml:space="preserve">níže </w:t>
      </w:r>
      <w:r w:rsidR="0028748F" w:rsidRPr="0028748F">
        <w:rPr>
          <w:rStyle w:val="Heading11"/>
          <w:rFonts w:ascii="Arial CE" w:hAnsi="Arial CE" w:cs="Times New Roman"/>
          <w:sz w:val="20"/>
          <w:szCs w:val="20"/>
          <w:highlight w:val="yellow"/>
          <w:u w:val="none"/>
        </w:rPr>
        <w:t>vyplní dodavatel)</w:t>
      </w:r>
    </w:p>
    <w:p w14:paraId="4B378AC4" w14:textId="77777777" w:rsidR="001E4689" w:rsidRPr="00884C5D" w:rsidRDefault="001E4689" w:rsidP="001E4689">
      <w:pPr>
        <w:pStyle w:val="Heading10"/>
        <w:keepNext/>
        <w:keepLines/>
        <w:shd w:val="clear" w:color="auto" w:fill="auto"/>
        <w:tabs>
          <w:tab w:val="left" w:pos="363"/>
        </w:tabs>
        <w:spacing w:after="0" w:line="288" w:lineRule="exact"/>
        <w:ind w:left="720"/>
        <w:jc w:val="both"/>
        <w:rPr>
          <w:rFonts w:ascii="Arial CE" w:hAnsi="Arial CE" w:cs="Times New Roman"/>
          <w:sz w:val="20"/>
          <w:szCs w:val="20"/>
        </w:rPr>
      </w:pPr>
    </w:p>
    <w:p w14:paraId="577B6C2B" w14:textId="77777777" w:rsidR="00351AAF" w:rsidRPr="00884C5D" w:rsidRDefault="002B28C1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Implementace systému nejpozději do </w:t>
      </w:r>
      <w:r w:rsidR="00294807" w:rsidRPr="0028748F">
        <w:rPr>
          <w:rFonts w:ascii="Arial CE" w:hAnsi="Arial CE" w:cs="Times New Roman"/>
          <w:sz w:val="20"/>
          <w:szCs w:val="20"/>
          <w:highlight w:val="yellow"/>
        </w:rPr>
        <w:t>………</w:t>
      </w:r>
    </w:p>
    <w:p w14:paraId="34F197A5" w14:textId="77777777" w:rsidR="00351AAF" w:rsidRPr="00884C5D" w:rsidRDefault="002B28C1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</w:t>
      </w:r>
      <w:r w:rsidR="00BC7779" w:rsidRPr="00884C5D">
        <w:rPr>
          <w:rFonts w:ascii="Arial CE" w:hAnsi="Arial CE" w:cs="Times New Roman"/>
          <w:sz w:val="20"/>
          <w:szCs w:val="20"/>
        </w:rPr>
        <w:t xml:space="preserve">puštění testovacího provozu od </w:t>
      </w:r>
      <w:r w:rsidR="00294807" w:rsidRPr="0028748F">
        <w:rPr>
          <w:rFonts w:ascii="Arial CE" w:hAnsi="Arial CE" w:cs="Times New Roman"/>
          <w:sz w:val="20"/>
          <w:szCs w:val="20"/>
          <w:highlight w:val="yellow"/>
        </w:rPr>
        <w:t>……………</w:t>
      </w:r>
    </w:p>
    <w:p w14:paraId="33536F9B" w14:textId="75528877" w:rsidR="00351AAF" w:rsidRDefault="002B28C1">
      <w:pPr>
        <w:pStyle w:val="Body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24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Spuštění ostrého provozu nejpozději od </w:t>
      </w:r>
      <w:r w:rsidR="00294807" w:rsidRPr="0028748F">
        <w:rPr>
          <w:rFonts w:ascii="Arial CE" w:hAnsi="Arial CE" w:cs="Times New Roman"/>
          <w:sz w:val="20"/>
          <w:szCs w:val="20"/>
          <w:highlight w:val="yellow"/>
        </w:rPr>
        <w:t>………</w:t>
      </w:r>
    </w:p>
    <w:p w14:paraId="22ED5EE8" w14:textId="2597D8B8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88" w:lineRule="exact"/>
        <w:jc w:val="both"/>
        <w:rPr>
          <w:rStyle w:val="Heading11"/>
          <w:rFonts w:ascii="Arial CE" w:hAnsi="Arial CE" w:cs="Times New Roman"/>
          <w:b/>
          <w:bCs/>
          <w:sz w:val="20"/>
          <w:szCs w:val="20"/>
          <w:u w:val="none"/>
        </w:rPr>
      </w:pPr>
      <w:bookmarkStart w:id="3" w:name="bookmark3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lastRenderedPageBreak/>
        <w:t>Návrhy smluv (Licenční smlouva a Smlouva o dílo a Maintenance smlouva)</w:t>
      </w:r>
      <w:bookmarkEnd w:id="3"/>
    </w:p>
    <w:p w14:paraId="3E9C908B" w14:textId="77777777" w:rsidR="000E03CF" w:rsidRPr="00884C5D" w:rsidRDefault="000E03CF" w:rsidP="000E03CF">
      <w:pPr>
        <w:pStyle w:val="Heading10"/>
        <w:keepNext/>
        <w:keepLines/>
        <w:shd w:val="clear" w:color="auto" w:fill="auto"/>
        <w:tabs>
          <w:tab w:val="left" w:pos="363"/>
        </w:tabs>
        <w:spacing w:after="0" w:line="288" w:lineRule="exact"/>
        <w:ind w:left="720"/>
        <w:jc w:val="both"/>
        <w:rPr>
          <w:rFonts w:ascii="Arial CE" w:hAnsi="Arial CE" w:cs="Times New Roman"/>
          <w:sz w:val="20"/>
          <w:szCs w:val="20"/>
        </w:rPr>
      </w:pPr>
    </w:p>
    <w:p w14:paraId="075EBCB5" w14:textId="03C952DC" w:rsidR="00351AAF" w:rsidRPr="00884C5D" w:rsidRDefault="002B28C1" w:rsidP="005D00FA">
      <w:pPr>
        <w:pStyle w:val="Bodytext20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288" w:lineRule="exact"/>
        <w:ind w:left="640" w:hanging="30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Návrh Licenční smlouvy a Smlouvy o dílo je přiložen k této zadávací dokumentaci a tvoří její přílohu č.</w:t>
      </w:r>
      <w:r w:rsidR="00D91F0C" w:rsidRPr="00884C5D">
        <w:rPr>
          <w:rFonts w:ascii="Arial CE" w:hAnsi="Arial CE" w:cs="Times New Roman"/>
          <w:sz w:val="20"/>
          <w:szCs w:val="20"/>
        </w:rPr>
        <w:t xml:space="preserve"> 4.</w:t>
      </w:r>
      <w:r w:rsidR="00802754" w:rsidRPr="00884C5D">
        <w:rPr>
          <w:rFonts w:ascii="Arial CE" w:hAnsi="Arial CE" w:cs="Times New Roman"/>
          <w:sz w:val="20"/>
          <w:szCs w:val="20"/>
        </w:rPr>
        <w:t xml:space="preserve">      </w:t>
      </w:r>
    </w:p>
    <w:p w14:paraId="587A17BC" w14:textId="0A3DA0E7" w:rsidR="00351AAF" w:rsidRPr="00884C5D" w:rsidRDefault="002B28C1">
      <w:pPr>
        <w:pStyle w:val="Bodytext20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288" w:lineRule="exact"/>
        <w:ind w:left="640" w:hanging="30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Návrh smlouvy o dílo maintenance je přiložen k této zadávací dokumentaci a tvoří její přílohu č. </w:t>
      </w:r>
      <w:r w:rsidR="00D91F0C" w:rsidRPr="00884C5D">
        <w:rPr>
          <w:rFonts w:ascii="Arial CE" w:hAnsi="Arial CE" w:cs="Times New Roman"/>
          <w:sz w:val="20"/>
          <w:szCs w:val="20"/>
        </w:rPr>
        <w:t>5</w:t>
      </w:r>
      <w:r w:rsidR="00294807" w:rsidRPr="00884C5D">
        <w:rPr>
          <w:rFonts w:ascii="Arial CE" w:hAnsi="Arial CE" w:cs="Times New Roman"/>
          <w:sz w:val="20"/>
          <w:szCs w:val="20"/>
        </w:rPr>
        <w:t>.</w:t>
      </w:r>
      <w:r w:rsidR="00802754" w:rsidRPr="00884C5D">
        <w:rPr>
          <w:rFonts w:ascii="Arial CE" w:hAnsi="Arial CE" w:cs="Times New Roman"/>
          <w:sz w:val="20"/>
          <w:szCs w:val="20"/>
        </w:rPr>
        <w:t xml:space="preserve">  </w:t>
      </w:r>
    </w:p>
    <w:p w14:paraId="17199465" w14:textId="77777777" w:rsidR="000E03CF" w:rsidRPr="00884C5D" w:rsidRDefault="000E03CF" w:rsidP="000E03CF">
      <w:pPr>
        <w:pStyle w:val="Bodytext20"/>
        <w:shd w:val="clear" w:color="auto" w:fill="auto"/>
        <w:tabs>
          <w:tab w:val="left" w:pos="734"/>
        </w:tabs>
        <w:spacing w:before="0" w:after="0" w:line="288" w:lineRule="exact"/>
        <w:ind w:left="640" w:firstLine="0"/>
        <w:rPr>
          <w:rFonts w:ascii="Arial CE" w:hAnsi="Arial CE" w:cs="Times New Roman"/>
          <w:sz w:val="20"/>
          <w:szCs w:val="20"/>
        </w:rPr>
      </w:pPr>
    </w:p>
    <w:p w14:paraId="57494421" w14:textId="6B16CACC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8"/>
        </w:tabs>
        <w:spacing w:after="0" w:line="288" w:lineRule="exact"/>
        <w:jc w:val="both"/>
        <w:rPr>
          <w:rStyle w:val="Heading11"/>
          <w:rFonts w:ascii="Arial CE" w:hAnsi="Arial CE" w:cs="Times New Roman"/>
          <w:b/>
          <w:bCs/>
          <w:sz w:val="20"/>
          <w:szCs w:val="20"/>
          <w:u w:val="none"/>
        </w:rPr>
      </w:pPr>
      <w:bookmarkStart w:id="4" w:name="bookmark4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Provoz řešení</w:t>
      </w:r>
      <w:bookmarkEnd w:id="4"/>
    </w:p>
    <w:p w14:paraId="4A040F32" w14:textId="77777777" w:rsidR="000E03CF" w:rsidRPr="00884C5D" w:rsidRDefault="000E03CF" w:rsidP="000E03CF">
      <w:pPr>
        <w:pStyle w:val="Heading10"/>
        <w:keepNext/>
        <w:keepLines/>
        <w:shd w:val="clear" w:color="auto" w:fill="auto"/>
        <w:tabs>
          <w:tab w:val="left" w:pos="368"/>
        </w:tabs>
        <w:spacing w:after="0" w:line="288" w:lineRule="exact"/>
        <w:ind w:left="720"/>
        <w:jc w:val="both"/>
        <w:rPr>
          <w:rFonts w:ascii="Arial CE" w:hAnsi="Arial CE" w:cs="Times New Roman"/>
          <w:sz w:val="20"/>
          <w:szCs w:val="20"/>
        </w:rPr>
      </w:pPr>
    </w:p>
    <w:p w14:paraId="30C79B7A" w14:textId="22C95CCC" w:rsidR="00351AAF" w:rsidRPr="00884C5D" w:rsidRDefault="000E03CF" w:rsidP="000E03CF">
      <w:pPr>
        <w:pStyle w:val="Bodytext20"/>
        <w:shd w:val="clear" w:color="auto" w:fill="auto"/>
        <w:tabs>
          <w:tab w:val="left" w:pos="567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a)  </w:t>
      </w:r>
      <w:r w:rsidR="002B28C1" w:rsidRPr="00884C5D">
        <w:rPr>
          <w:rFonts w:ascii="Arial CE" w:hAnsi="Arial CE" w:cs="Times New Roman"/>
          <w:sz w:val="20"/>
          <w:szCs w:val="20"/>
        </w:rPr>
        <w:t>Provoz řešení bude probíhat v režii a na prostředích Zadavatele</w:t>
      </w:r>
    </w:p>
    <w:p w14:paraId="62820FFB" w14:textId="2DDB7573" w:rsidR="00351AAF" w:rsidRPr="00884C5D" w:rsidRDefault="000E03CF" w:rsidP="000E03CF">
      <w:pPr>
        <w:pStyle w:val="Bodytext20"/>
        <w:shd w:val="clear" w:color="auto" w:fill="auto"/>
        <w:tabs>
          <w:tab w:val="left" w:pos="567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b) </w:t>
      </w:r>
      <w:r w:rsidR="002B28C1" w:rsidRPr="00884C5D">
        <w:rPr>
          <w:rFonts w:ascii="Arial CE" w:hAnsi="Arial CE" w:cs="Times New Roman"/>
          <w:sz w:val="20"/>
          <w:szCs w:val="20"/>
        </w:rPr>
        <w:t>Předkladatel předloží minimální technické parametry pro provoz řešení a minimální klientské požadavky (možné verze databázové a serverové části, výkon a operační systém serveru, technické požadavky na klientskou stanici atd.) s ohledem na standardní rychlost práce</w:t>
      </w:r>
      <w:r w:rsidRPr="00884C5D">
        <w:rPr>
          <w:rFonts w:ascii="Arial CE" w:hAnsi="Arial CE" w:cs="Times New Roman"/>
          <w:sz w:val="20"/>
          <w:szCs w:val="20"/>
        </w:rPr>
        <w:t xml:space="preserve"> </w:t>
      </w:r>
      <w:r w:rsidR="002B28C1" w:rsidRPr="00884C5D">
        <w:rPr>
          <w:rFonts w:ascii="Arial CE" w:hAnsi="Arial CE" w:cs="Times New Roman"/>
          <w:sz w:val="20"/>
          <w:szCs w:val="20"/>
        </w:rPr>
        <w:t>s</w:t>
      </w:r>
      <w:r w:rsidRPr="00884C5D">
        <w:rPr>
          <w:rFonts w:ascii="Arial CE" w:hAnsi="Arial CE" w:cs="Times New Roman"/>
          <w:sz w:val="20"/>
          <w:szCs w:val="20"/>
        </w:rPr>
        <w:t> </w:t>
      </w:r>
      <w:r w:rsidR="002B28C1" w:rsidRPr="00884C5D">
        <w:rPr>
          <w:rFonts w:ascii="Arial CE" w:hAnsi="Arial CE" w:cs="Times New Roman"/>
          <w:sz w:val="20"/>
          <w:szCs w:val="20"/>
        </w:rPr>
        <w:t>aplikací</w:t>
      </w:r>
    </w:p>
    <w:p w14:paraId="32ABF5B6" w14:textId="76027A54" w:rsidR="00351AAF" w:rsidRPr="00884C5D" w:rsidRDefault="000E03CF" w:rsidP="000E03CF">
      <w:pPr>
        <w:pStyle w:val="Bodytext20"/>
        <w:shd w:val="clear" w:color="auto" w:fill="auto"/>
        <w:tabs>
          <w:tab w:val="left" w:pos="567"/>
        </w:tabs>
        <w:spacing w:before="0" w:after="0" w:line="288" w:lineRule="exact"/>
        <w:ind w:left="340" w:firstLine="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c)  </w:t>
      </w:r>
      <w:r w:rsidR="002B28C1" w:rsidRPr="00884C5D">
        <w:rPr>
          <w:rFonts w:ascii="Arial CE" w:hAnsi="Arial CE" w:cs="Times New Roman"/>
          <w:sz w:val="20"/>
          <w:szCs w:val="20"/>
        </w:rPr>
        <w:t>Předkladatel předloží požadavky na poskytnutí přístupu na servery Zadavatele za účelem správy a údržby aplikace v souladu s návrhem Smlouvy o maintenance.</w:t>
      </w:r>
    </w:p>
    <w:p w14:paraId="69C01573" w14:textId="77777777" w:rsidR="005D00FA" w:rsidRPr="00884C5D" w:rsidRDefault="005D00FA" w:rsidP="000E03CF">
      <w:pPr>
        <w:pStyle w:val="Bodytext20"/>
        <w:shd w:val="clear" w:color="auto" w:fill="auto"/>
        <w:tabs>
          <w:tab w:val="left" w:pos="759"/>
        </w:tabs>
        <w:spacing w:before="0" w:after="294" w:line="288" w:lineRule="exact"/>
        <w:ind w:left="600" w:firstLine="0"/>
        <w:rPr>
          <w:rFonts w:ascii="Arial CE" w:hAnsi="Arial CE" w:cs="Times New Roman"/>
          <w:sz w:val="20"/>
          <w:szCs w:val="20"/>
        </w:rPr>
      </w:pPr>
    </w:p>
    <w:p w14:paraId="09FE25AE" w14:textId="77777777" w:rsidR="00351AAF" w:rsidRPr="00884C5D" w:rsidRDefault="002B28C1" w:rsidP="000E03CF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65"/>
        </w:tabs>
        <w:spacing w:after="129" w:line="220" w:lineRule="exact"/>
        <w:jc w:val="both"/>
        <w:rPr>
          <w:rFonts w:ascii="Arial CE" w:hAnsi="Arial CE" w:cs="Times New Roman"/>
          <w:sz w:val="20"/>
          <w:szCs w:val="20"/>
        </w:rPr>
      </w:pPr>
      <w:bookmarkStart w:id="5" w:name="bookmark5"/>
      <w:r w:rsidRPr="00884C5D">
        <w:rPr>
          <w:rStyle w:val="Heading11"/>
          <w:rFonts w:ascii="Arial CE" w:hAnsi="Arial CE" w:cs="Times New Roman"/>
          <w:b/>
          <w:bCs/>
          <w:sz w:val="20"/>
          <w:szCs w:val="20"/>
        </w:rPr>
        <w:t>Detailní specifikace jednotlivých oblastí</w:t>
      </w:r>
      <w:bookmarkEnd w:id="5"/>
    </w:p>
    <w:p w14:paraId="75F84086" w14:textId="79A5DCDC" w:rsidR="00351AAF" w:rsidRPr="00884C5D" w:rsidRDefault="002B28C1" w:rsidP="005D00FA">
      <w:pPr>
        <w:pStyle w:val="Bodytext20"/>
        <w:shd w:val="clear" w:color="auto" w:fill="auto"/>
        <w:spacing w:before="0" w:line="288" w:lineRule="exact"/>
        <w:ind w:left="360" w:firstLine="45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Předkladatel ve své nabídce uvede deklaraci splnění níže uvedeného (v případě rozporu</w:t>
      </w:r>
      <w:r w:rsidR="005D00FA" w:rsidRPr="00884C5D">
        <w:rPr>
          <w:rFonts w:ascii="Arial CE" w:hAnsi="Arial CE" w:cs="Times New Roman"/>
          <w:sz w:val="20"/>
          <w:szCs w:val="20"/>
        </w:rPr>
        <w:t xml:space="preserve"> </w:t>
      </w:r>
      <w:r w:rsidRPr="00884C5D">
        <w:rPr>
          <w:rFonts w:ascii="Arial CE" w:hAnsi="Arial CE" w:cs="Times New Roman"/>
          <w:sz w:val="20"/>
          <w:szCs w:val="20"/>
        </w:rPr>
        <w:t>nebo neshody s poptávaným uvede způsob náhradního řešení nebo jiné doporučení).</w:t>
      </w:r>
    </w:p>
    <w:p w14:paraId="4FD05D59" w14:textId="77777777" w:rsidR="00351AAF" w:rsidRPr="00884C5D" w:rsidRDefault="002B28C1" w:rsidP="005D00FA">
      <w:pPr>
        <w:pStyle w:val="Bodytext20"/>
        <w:shd w:val="clear" w:color="auto" w:fill="auto"/>
        <w:spacing w:before="0" w:after="236" w:line="288" w:lineRule="exact"/>
        <w:ind w:left="360" w:firstLine="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Vzhledem k tomu, že na straně předkladatele předpokládáme odbornou způsobilost a realizovaná referenční řešení, očekáváme předložení „doporučeného maximálního využití" jednotlivých modulů nad rámec níže popsaného souhrnu.</w:t>
      </w:r>
    </w:p>
    <w:p w14:paraId="079A052A" w14:textId="40B3CC55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39"/>
        </w:tabs>
        <w:spacing w:before="0" w:after="0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Pasportizace:</w:t>
      </w:r>
    </w:p>
    <w:p w14:paraId="3AC4C9F7" w14:textId="7063922E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budov s možností typizace budov (posluchárna, šatna, hala chodba, W</w:t>
      </w:r>
      <w:r w:rsidR="000E03CF" w:rsidRPr="00884C5D">
        <w:rPr>
          <w:rFonts w:ascii="Arial CE" w:hAnsi="Arial CE" w:cs="Times New Roman"/>
          <w:sz w:val="20"/>
          <w:szCs w:val="20"/>
        </w:rPr>
        <w:t>C</w:t>
      </w:r>
      <w:r w:rsidRPr="00884C5D">
        <w:rPr>
          <w:rFonts w:ascii="Arial CE" w:hAnsi="Arial CE" w:cs="Times New Roman"/>
          <w:sz w:val="20"/>
          <w:szCs w:val="20"/>
        </w:rPr>
        <w:t xml:space="preserve"> atd.). Součástí evidence nejsou jen budovy v areálu univerzity, ale rovněž budovy univerzitou vlastněné (např. chaty)</w:t>
      </w:r>
    </w:p>
    <w:p w14:paraId="2A84DAEE" w14:textId="1811F5A3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evidence, podlaží, místností a jejich shlukování do složek univerzity (např. Ústav agrochemie, Děkanát atd.). Tato evidence slouží rovněž pro rozpady nákladů (např. odběry energií)</w:t>
      </w:r>
    </w:p>
    <w:p w14:paraId="45CF99E7" w14:textId="38C084EA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right="220" w:hanging="36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zaměstnanců a jejich příslušnost k jednotlivým složkám univerzity (předpokládáme standardní evidenci s cca. následujícím členěním</w:t>
      </w:r>
      <w:r w:rsidR="00AA5C67" w:rsidRPr="00884C5D">
        <w:rPr>
          <w:rFonts w:ascii="Arial CE" w:hAnsi="Arial CE" w:cs="Times New Roman"/>
          <w:sz w:val="20"/>
          <w:szCs w:val="20"/>
        </w:rPr>
        <w:t>,</w:t>
      </w:r>
      <w:r w:rsidRPr="00884C5D">
        <w:rPr>
          <w:rFonts w:ascii="Arial CE" w:hAnsi="Arial CE" w:cs="Times New Roman"/>
          <w:sz w:val="20"/>
          <w:szCs w:val="20"/>
        </w:rPr>
        <w:t xml:space="preserve"> (jméno, příjmení, telefon</w:t>
      </w:r>
      <w:r w:rsidR="000E03CF" w:rsidRPr="00884C5D">
        <w:rPr>
          <w:rFonts w:ascii="Arial CE" w:hAnsi="Arial CE" w:cs="Times New Roman"/>
          <w:sz w:val="20"/>
          <w:szCs w:val="20"/>
        </w:rPr>
        <w:t xml:space="preserve"> </w:t>
      </w:r>
      <w:r w:rsidRPr="00884C5D">
        <w:rPr>
          <w:rFonts w:ascii="Arial CE" w:hAnsi="Arial CE" w:cs="Times New Roman"/>
          <w:sz w:val="20"/>
          <w:szCs w:val="20"/>
        </w:rPr>
        <w:t>atd.)). Současně očekáváme evidenci stromové organizační struktury (nadřízený, podřízený atd.) a napojení na ekonomické atributy (např. nákladové středisko)</w:t>
      </w:r>
    </w:p>
    <w:p w14:paraId="48500AA9" w14:textId="4CB7CC91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dodavatelů a případných odběratelů se standardními CRM přehledy (pozice, kontaktní údaje společnosti, jednotliví zaměstnanci společnosti atd.)</w:t>
      </w:r>
    </w:p>
    <w:p w14:paraId="41B5C3C5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odběrných míst s dělením na jednotlivá média, měřidel, jejich umístění, sazby a další parametry. Současně evidenci odečtů jednotlivých měřidel a napojení měřidla na pasportizaci.</w:t>
      </w:r>
    </w:p>
    <w:p w14:paraId="75243641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right="102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vkládání CAD výkresů (DWG) a jejich automatizované vytěžování směrem k tabulkové datové základně (např. plochy, druhy podlah, čísla místností)</w:t>
      </w:r>
    </w:p>
    <w:p w14:paraId="094245B7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/>
        <w:ind w:left="760" w:hanging="36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Souhrnná evidence majetků a informace o jejich pořízení a lokalizaci</w:t>
      </w:r>
    </w:p>
    <w:p w14:paraId="17D0D148" w14:textId="2FF1B3D8" w:rsidR="002002CA" w:rsidRPr="00884C5D" w:rsidRDefault="002B28C1" w:rsidP="000E03CF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236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všech vozidel se standardními přehledy (datum uvedení do provozu, registrační značka, normovaná spotřeba, s</w:t>
      </w:r>
      <w:r w:rsidR="00802754" w:rsidRPr="00884C5D">
        <w:rPr>
          <w:rFonts w:ascii="Arial CE" w:hAnsi="Arial CE" w:cs="Times New Roman"/>
          <w:sz w:val="20"/>
          <w:szCs w:val="20"/>
        </w:rPr>
        <w:t>ca</w:t>
      </w:r>
      <w:r w:rsidRPr="00884C5D">
        <w:rPr>
          <w:rFonts w:ascii="Arial CE" w:hAnsi="Arial CE" w:cs="Times New Roman"/>
          <w:sz w:val="20"/>
          <w:szCs w:val="20"/>
        </w:rPr>
        <w:t>n technického průkazu)</w:t>
      </w:r>
    </w:p>
    <w:p w14:paraId="1B82EB3A" w14:textId="4E44A06C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39"/>
        </w:tabs>
        <w:spacing w:before="0" w:after="0" w:line="298" w:lineRule="exact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Provozní údržba:</w:t>
      </w:r>
    </w:p>
    <w:p w14:paraId="0886E2DF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98" w:lineRule="exact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Zakládání a evidence vlastních opakujících se úkonů (pravidelná zákonná / dobrovolná údržba), evidence revizní zprávy, možnost přeplánování události atd.</w:t>
      </w:r>
    </w:p>
    <w:p w14:paraId="39BA2D79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98" w:lineRule="exact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 xml:space="preserve">Zadávání helpdeskových požadavků a jejich průběh typizovaným workflow ve vztahu k řešené oblasti. </w:t>
      </w:r>
      <w:r w:rsidRPr="00884C5D">
        <w:rPr>
          <w:rFonts w:ascii="Arial CE" w:hAnsi="Arial CE" w:cs="Times New Roman"/>
          <w:sz w:val="20"/>
          <w:szCs w:val="20"/>
        </w:rPr>
        <w:lastRenderedPageBreak/>
        <w:t>Předpokládáme evidenci nákladů souvisejících s realizací požadavku.</w:t>
      </w:r>
    </w:p>
    <w:p w14:paraId="366F5818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240" w:line="298" w:lineRule="exact"/>
        <w:ind w:left="760" w:hanging="360"/>
        <w:jc w:val="both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U výše uvedených modulů očekáváme možnost vlastní realizace nastavení a reportingu</w:t>
      </w:r>
    </w:p>
    <w:p w14:paraId="68936217" w14:textId="77777777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39"/>
        </w:tabs>
        <w:spacing w:before="0" w:after="0" w:line="298" w:lineRule="exact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Fakturace, objednávky a smluvní evidence:</w:t>
      </w:r>
    </w:p>
    <w:p w14:paraId="7926F03B" w14:textId="77777777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98" w:lineRule="exact"/>
        <w:ind w:left="760" w:hanging="36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Tvorba a evidence vlastních rozpadů nad pasportizací a odběry energií napříč složkami univerzity. Přidělování vzniklých faktur jednotlivým složkám univerzity</w:t>
      </w:r>
    </w:p>
    <w:p w14:paraId="65DB0C81" w14:textId="52542E54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244" w:line="298" w:lineRule="exact"/>
        <w:ind w:left="760" w:hanging="3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Evidence jednoduchých „smluvních" podkladů k fakturaci (ve vztahu k pasportu a rozložení v rámci budov, energiím atd.)</w:t>
      </w:r>
    </w:p>
    <w:p w14:paraId="1F7BA17C" w14:textId="77777777" w:rsidR="00351AAF" w:rsidRPr="00884C5D" w:rsidRDefault="002B28C1" w:rsidP="000E03CF">
      <w:pPr>
        <w:pStyle w:val="Bodytext20"/>
        <w:numPr>
          <w:ilvl w:val="0"/>
          <w:numId w:val="9"/>
        </w:numPr>
        <w:shd w:val="clear" w:color="auto" w:fill="auto"/>
        <w:tabs>
          <w:tab w:val="left" w:pos="558"/>
        </w:tabs>
        <w:spacing w:before="0" w:after="0"/>
        <w:jc w:val="both"/>
        <w:rPr>
          <w:rFonts w:ascii="Arial CE" w:hAnsi="Arial CE" w:cs="Times New Roman"/>
          <w:b/>
          <w:bCs/>
          <w:sz w:val="20"/>
          <w:szCs w:val="20"/>
        </w:rPr>
      </w:pPr>
      <w:r w:rsidRPr="00884C5D">
        <w:rPr>
          <w:rFonts w:ascii="Arial CE" w:hAnsi="Arial CE" w:cs="Times New Roman"/>
          <w:b/>
          <w:bCs/>
          <w:sz w:val="20"/>
          <w:szCs w:val="20"/>
        </w:rPr>
        <w:t>Prostředí pro studenty a dodavatele</w:t>
      </w:r>
    </w:p>
    <w:p w14:paraId="64EEC5BF" w14:textId="0964BD6C" w:rsidR="00351AAF" w:rsidRPr="00884C5D" w:rsidRDefault="002B28C1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0"/>
        <w:ind w:left="760" w:hanging="3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Vlastní stránky (s logem univerzity) s možností vkládat a přebírat požadavky, nahlížet na realizované události atd.</w:t>
      </w:r>
    </w:p>
    <w:p w14:paraId="372516F7" w14:textId="66671E56" w:rsidR="00997AA7" w:rsidRDefault="002B28C1" w:rsidP="005D00FA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0"/>
        <w:ind w:left="760" w:hanging="340"/>
        <w:rPr>
          <w:rFonts w:ascii="Arial CE" w:hAnsi="Arial CE" w:cs="Times New Roman"/>
          <w:sz w:val="20"/>
          <w:szCs w:val="20"/>
        </w:rPr>
      </w:pPr>
      <w:r w:rsidRPr="00884C5D">
        <w:rPr>
          <w:rFonts w:ascii="Arial CE" w:hAnsi="Arial CE" w:cs="Times New Roman"/>
          <w:sz w:val="20"/>
          <w:szCs w:val="20"/>
        </w:rPr>
        <w:t>Možnost přístupu pro všechny studenty, případně dodavatelské a odběratelské organizace</w:t>
      </w:r>
    </w:p>
    <w:p w14:paraId="1D03B2E5" w14:textId="77777777" w:rsidR="00997AA7" w:rsidRDefault="00997AA7">
      <w:pPr>
        <w:rPr>
          <w:rFonts w:ascii="Arial CE" w:eastAsia="Calibri" w:hAnsi="Arial CE" w:cs="Times New Roman"/>
          <w:sz w:val="20"/>
          <w:szCs w:val="20"/>
        </w:rPr>
      </w:pPr>
      <w:r>
        <w:rPr>
          <w:rFonts w:ascii="Arial CE" w:hAnsi="Arial CE" w:cs="Times New Roman"/>
          <w:sz w:val="20"/>
          <w:szCs w:val="20"/>
        </w:rPr>
        <w:br w:type="page"/>
      </w:r>
    </w:p>
    <w:p w14:paraId="31F2B304" w14:textId="77777777" w:rsidR="00997AA7" w:rsidRDefault="00997AA7" w:rsidP="00997AA7">
      <w:pPr>
        <w:tabs>
          <w:tab w:val="left" w:pos="720"/>
        </w:tabs>
        <w:spacing w:after="240"/>
        <w:jc w:val="center"/>
        <w:rPr>
          <w:b/>
        </w:rPr>
      </w:pPr>
    </w:p>
    <w:p w14:paraId="46CA604B" w14:textId="77777777" w:rsidR="00997AA7" w:rsidRPr="004A1320" w:rsidRDefault="00997AA7" w:rsidP="00997AA7">
      <w:pPr>
        <w:pStyle w:val="Nadpis1"/>
        <w:rPr>
          <w:rFonts w:ascii="Arial CE" w:hAnsi="Arial CE"/>
          <w:sz w:val="24"/>
        </w:rPr>
      </w:pPr>
      <w:r w:rsidRPr="004A1320">
        <w:rPr>
          <w:rFonts w:ascii="Arial CE" w:hAnsi="Arial CE"/>
          <w:sz w:val="24"/>
        </w:rPr>
        <w:t xml:space="preserve">Seznam hardware a software CAFM systém </w:t>
      </w:r>
    </w:p>
    <w:p w14:paraId="5CDCEDCB" w14:textId="77777777" w:rsidR="00997AA7" w:rsidRPr="004A1320" w:rsidRDefault="00997AA7" w:rsidP="00997AA7">
      <w:pPr>
        <w:rPr>
          <w:rFonts w:ascii="Arial CE" w:hAnsi="Arial CE"/>
        </w:rPr>
      </w:pPr>
    </w:p>
    <w:p w14:paraId="229B68B4" w14:textId="77777777" w:rsidR="00997AA7" w:rsidRDefault="00997AA7" w:rsidP="00997AA7">
      <w:pPr>
        <w:jc w:val="both"/>
        <w:rPr>
          <w:rFonts w:ascii="Arial CE" w:hAnsi="Arial CE"/>
          <w:b/>
        </w:rPr>
      </w:pPr>
    </w:p>
    <w:p w14:paraId="3F0C80B5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</w:rPr>
      </w:pPr>
      <w:r w:rsidRPr="00F110ED">
        <w:rPr>
          <w:rFonts w:ascii="Arial CE" w:hAnsi="Arial CE"/>
          <w:b/>
          <w:sz w:val="20"/>
          <w:szCs w:val="20"/>
        </w:rPr>
        <w:t>Klientská stanice:</w:t>
      </w:r>
    </w:p>
    <w:p w14:paraId="5DB265E3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Pro klientské stanice lze použít libovolný operační systém s internetovým prohlížečem IE9+ nebo Chrome.</w:t>
      </w:r>
    </w:p>
    <w:p w14:paraId="1FFB8FE8" w14:textId="77777777" w:rsidR="00997AA7" w:rsidRPr="00F110ED" w:rsidRDefault="00997AA7" w:rsidP="00997AA7">
      <w:pPr>
        <w:jc w:val="both"/>
        <w:rPr>
          <w:rFonts w:ascii="Arial CE" w:hAnsi="Arial CE"/>
          <w:sz w:val="20"/>
          <w:szCs w:val="20"/>
        </w:rPr>
      </w:pPr>
    </w:p>
    <w:p w14:paraId="10CC73FA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</w:rPr>
      </w:pPr>
      <w:r w:rsidRPr="00F110ED">
        <w:rPr>
          <w:rFonts w:ascii="Arial CE" w:hAnsi="Arial CE"/>
          <w:b/>
          <w:sz w:val="20"/>
          <w:szCs w:val="20"/>
        </w:rPr>
        <w:t>Server:</w:t>
      </w:r>
    </w:p>
    <w:p w14:paraId="0E89F63F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Aplikace podporuje HW Intel platformu (32 nebo 64 bit) a operační systém Windows. Je ji možno provozovat na jednom serveru nebo rozdělit na aplikační a databázový. Je možno využít fyzický HW nebo virtualizovaný HW.</w:t>
      </w:r>
    </w:p>
    <w:p w14:paraId="5DB879BF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Pro prvotní nasazení je výhodné využít jeden server a postupem času případně rozdělit na aplikační a databázový.</w:t>
      </w:r>
    </w:p>
    <w:p w14:paraId="09236A55" w14:textId="77777777" w:rsidR="00997AA7" w:rsidRPr="00F110ED" w:rsidRDefault="00997AA7" w:rsidP="00997AA7">
      <w:pPr>
        <w:jc w:val="both"/>
        <w:rPr>
          <w:rFonts w:ascii="Arial CE" w:hAnsi="Arial CE"/>
          <w:sz w:val="20"/>
          <w:szCs w:val="20"/>
        </w:rPr>
      </w:pPr>
    </w:p>
    <w:p w14:paraId="2EB2FF78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  <w:u w:val="single"/>
        </w:rPr>
      </w:pPr>
      <w:r w:rsidRPr="00F110ED">
        <w:rPr>
          <w:rFonts w:ascii="Arial CE" w:hAnsi="Arial CE"/>
          <w:b/>
          <w:sz w:val="20"/>
          <w:szCs w:val="20"/>
          <w:u w:val="single"/>
        </w:rPr>
        <w:t>Pro řádově desítky současně pracujících uživatelů je vhodná konfigurace:</w:t>
      </w:r>
    </w:p>
    <w:p w14:paraId="23FF681A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CPU: min. 4 core</w:t>
      </w:r>
    </w:p>
    <w:p w14:paraId="18496831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RAM: min. 16GB RAM</w:t>
      </w:r>
    </w:p>
    <w:p w14:paraId="532EE2DC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Disk: </w:t>
      </w:r>
    </w:p>
    <w:p w14:paraId="48C20191" w14:textId="77777777" w:rsidR="00997AA7" w:rsidRPr="00F110ED" w:rsidRDefault="00997AA7" w:rsidP="00997AA7">
      <w:pPr>
        <w:widowControl/>
        <w:numPr>
          <w:ilvl w:val="1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100 GB’s pro OS</w:t>
      </w:r>
    </w:p>
    <w:p w14:paraId="55C2E3E0" w14:textId="77777777" w:rsidR="00997AA7" w:rsidRPr="00F110ED" w:rsidRDefault="00997AA7" w:rsidP="00997AA7">
      <w:pPr>
        <w:widowControl/>
        <w:numPr>
          <w:ilvl w:val="1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100 GB’s pro aplikaci </w:t>
      </w:r>
    </w:p>
    <w:p w14:paraId="30ACFE2A" w14:textId="77777777" w:rsidR="00997AA7" w:rsidRPr="00F110ED" w:rsidRDefault="00997AA7" w:rsidP="00997AA7">
      <w:pPr>
        <w:widowControl/>
        <w:numPr>
          <w:ilvl w:val="1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>stovky GB</w:t>
      </w:r>
      <w:r w:rsidRPr="00997AA7">
        <w:rPr>
          <w:rFonts w:ascii="Arial CE" w:hAnsi="Arial CE"/>
          <w:sz w:val="20"/>
          <w:szCs w:val="20"/>
        </w:rPr>
        <w:t>’</w:t>
      </w:r>
      <w:r w:rsidRPr="00F110ED">
        <w:rPr>
          <w:rFonts w:ascii="Arial CE" w:hAnsi="Arial CE"/>
          <w:sz w:val="20"/>
          <w:szCs w:val="20"/>
        </w:rPr>
        <w:t>s – dostatečná kapacita pro „data aplikace“ (především souborové přílohy)</w:t>
      </w:r>
    </w:p>
    <w:p w14:paraId="779F5969" w14:textId="77777777" w:rsidR="00997AA7" w:rsidRPr="00F110ED" w:rsidRDefault="00997AA7" w:rsidP="00997AA7">
      <w:pPr>
        <w:jc w:val="both"/>
        <w:rPr>
          <w:rFonts w:ascii="Arial CE" w:hAnsi="Arial CE"/>
          <w:b/>
          <w:sz w:val="20"/>
          <w:szCs w:val="20"/>
          <w:u w:val="single"/>
        </w:rPr>
      </w:pPr>
      <w:r w:rsidRPr="00F110ED">
        <w:rPr>
          <w:rFonts w:ascii="Arial CE" w:hAnsi="Arial CE"/>
          <w:b/>
          <w:sz w:val="20"/>
          <w:szCs w:val="20"/>
          <w:u w:val="single"/>
        </w:rPr>
        <w:t>Software:</w:t>
      </w:r>
    </w:p>
    <w:p w14:paraId="37360E47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OS serveru: Windows Server 2016 Standard </w:t>
      </w:r>
    </w:p>
    <w:p w14:paraId="2FCE7A75" w14:textId="77777777" w:rsidR="00997AA7" w:rsidRPr="00F110ED" w:rsidRDefault="00997AA7" w:rsidP="00997AA7">
      <w:pPr>
        <w:widowControl/>
        <w:numPr>
          <w:ilvl w:val="0"/>
          <w:numId w:val="11"/>
        </w:numPr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sz w:val="20"/>
          <w:szCs w:val="20"/>
        </w:rPr>
        <w:t xml:space="preserve">SQL: Microsoft SQL Server 2017 64b – nutno použít licenci per procesor; </w:t>
      </w:r>
    </w:p>
    <w:p w14:paraId="1F3CAAFB" w14:textId="77777777" w:rsidR="00997AA7" w:rsidRPr="00F110ED" w:rsidRDefault="00997AA7" w:rsidP="00997AA7">
      <w:p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</w:p>
    <w:p w14:paraId="757815CE" w14:textId="77777777" w:rsidR="00997AA7" w:rsidRPr="00F110ED" w:rsidRDefault="00997AA7" w:rsidP="00997AA7">
      <w:p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Pro komunikaci s ostatními aplikacemi standardně podporujeme následující technologie:</w:t>
      </w:r>
    </w:p>
    <w:p w14:paraId="1AE969A3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SQL komunikace</w:t>
      </w:r>
    </w:p>
    <w:p w14:paraId="078657FA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WebServices (SOAP, REST) přes HTTP, HTTPS</w:t>
      </w:r>
    </w:p>
    <w:p w14:paraId="47E9C96B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SFTP (výměna dat přes meziuložiště – formát XML, CSV, XLSX)</w:t>
      </w:r>
    </w:p>
    <w:p w14:paraId="6EE0DF2A" w14:textId="77777777" w:rsidR="00997AA7" w:rsidRPr="00F110ED" w:rsidRDefault="00997AA7" w:rsidP="00997AA7">
      <w:pPr>
        <w:widowControl/>
        <w:numPr>
          <w:ilvl w:val="0"/>
          <w:numId w:val="10"/>
        </w:numPr>
        <w:tabs>
          <w:tab w:val="left" w:pos="-284"/>
          <w:tab w:val="left" w:pos="-113"/>
        </w:tabs>
        <w:jc w:val="both"/>
        <w:rPr>
          <w:rFonts w:ascii="Arial CE" w:hAnsi="Arial CE"/>
          <w:bCs/>
          <w:sz w:val="20"/>
          <w:szCs w:val="20"/>
        </w:rPr>
      </w:pPr>
      <w:r w:rsidRPr="00F110ED">
        <w:rPr>
          <w:rFonts w:ascii="Arial CE" w:hAnsi="Arial CE"/>
          <w:bCs/>
          <w:sz w:val="20"/>
          <w:szCs w:val="20"/>
        </w:rPr>
        <w:t>POP3 (výměna dat pomocí emailů – formát XML, CSV, XLSX)</w:t>
      </w:r>
    </w:p>
    <w:p w14:paraId="5F915B44" w14:textId="77777777" w:rsidR="00351AAF" w:rsidRPr="00884C5D" w:rsidRDefault="00351AAF" w:rsidP="00997AA7">
      <w:pPr>
        <w:pStyle w:val="Bodytext20"/>
        <w:shd w:val="clear" w:color="auto" w:fill="auto"/>
        <w:tabs>
          <w:tab w:val="left" w:pos="780"/>
        </w:tabs>
        <w:spacing w:before="0" w:after="0"/>
        <w:ind w:left="760" w:firstLine="0"/>
        <w:rPr>
          <w:rFonts w:ascii="Arial CE" w:hAnsi="Arial CE" w:cs="Times New Roman"/>
          <w:sz w:val="20"/>
          <w:szCs w:val="20"/>
        </w:rPr>
      </w:pPr>
    </w:p>
    <w:sectPr w:rsidR="00351AAF" w:rsidRPr="00884C5D" w:rsidSect="00701583">
      <w:headerReference w:type="default" r:id="rId7"/>
      <w:footerReference w:type="default" r:id="rId8"/>
      <w:pgSz w:w="11900" w:h="16840"/>
      <w:pgMar w:top="1429" w:right="701" w:bottom="135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0730" w14:textId="77777777" w:rsidR="004F7466" w:rsidRDefault="004F7466">
      <w:r>
        <w:separator/>
      </w:r>
    </w:p>
  </w:endnote>
  <w:endnote w:type="continuationSeparator" w:id="0">
    <w:p w14:paraId="632EE4FA" w14:textId="77777777" w:rsidR="004F7466" w:rsidRDefault="004F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762285"/>
      <w:docPartObj>
        <w:docPartGallery w:val="Page Numbers (Bottom of Page)"/>
        <w:docPartUnique/>
      </w:docPartObj>
    </w:sdtPr>
    <w:sdtEndPr/>
    <w:sdtContent>
      <w:p w14:paraId="6BC8ED68" w14:textId="79183D36" w:rsidR="002002CA" w:rsidRDefault="002002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D250E" w14:textId="7AAA2135" w:rsidR="00AA5C67" w:rsidRDefault="00AA5C67" w:rsidP="00AA5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4635" w14:textId="77777777" w:rsidR="004F7466" w:rsidRDefault="004F7466"/>
  </w:footnote>
  <w:footnote w:type="continuationSeparator" w:id="0">
    <w:p w14:paraId="6546FF34" w14:textId="77777777" w:rsidR="004F7466" w:rsidRDefault="004F7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CBCF" w14:textId="77777777" w:rsidR="00AF21FC" w:rsidRDefault="00AF21FC">
    <w:pPr>
      <w:pStyle w:val="Zhlav"/>
      <w:rPr>
        <w:rFonts w:ascii="Arial CE" w:hAnsi="Arial CE"/>
        <w:sz w:val="20"/>
        <w:szCs w:val="20"/>
      </w:rPr>
    </w:pPr>
  </w:p>
  <w:p w14:paraId="0E12776F" w14:textId="00F1B36C" w:rsidR="001E4689" w:rsidRDefault="001E4689" w:rsidP="001E4689">
    <w:pPr>
      <w:pStyle w:val="Zhlav"/>
      <w:spacing w:after="120"/>
      <w:jc w:val="right"/>
      <w:rPr>
        <w:rFonts w:ascii="Arial CE" w:hAnsi="Arial CE"/>
        <w:sz w:val="20"/>
        <w:szCs w:val="20"/>
      </w:rPr>
    </w:pPr>
    <w:r>
      <w:rPr>
        <w:noProof/>
      </w:rPr>
      <w:drawing>
        <wp:inline distT="0" distB="0" distL="0" distR="0" wp14:anchorId="537CD58E" wp14:editId="30624BD1">
          <wp:extent cx="1044575" cy="717781"/>
          <wp:effectExtent l="0" t="0" r="317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99" cy="718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1B62E" w14:textId="77777777" w:rsidR="001E4689" w:rsidRDefault="00AF21FC" w:rsidP="001E4689">
    <w:pPr>
      <w:pStyle w:val="Zhlav"/>
      <w:spacing w:after="120"/>
      <w:rPr>
        <w:rFonts w:ascii="Arial CE" w:hAnsi="Arial CE"/>
        <w:sz w:val="20"/>
        <w:szCs w:val="20"/>
      </w:rPr>
    </w:pPr>
    <w:r w:rsidRPr="00AF21FC">
      <w:rPr>
        <w:rFonts w:ascii="Arial CE" w:hAnsi="Arial CE"/>
        <w:sz w:val="20"/>
        <w:szCs w:val="20"/>
      </w:rPr>
      <w:t>FPMS</w:t>
    </w:r>
    <w:r w:rsidR="001E4689">
      <w:rPr>
        <w:rFonts w:ascii="Arial CE" w:hAnsi="Arial CE"/>
        <w:sz w:val="20"/>
        <w:szCs w:val="20"/>
      </w:rPr>
      <w:tab/>
    </w:r>
    <w:r w:rsidR="001E4689">
      <w:rPr>
        <w:rFonts w:ascii="Arial CE" w:hAnsi="Arial CE"/>
        <w:sz w:val="20"/>
        <w:szCs w:val="20"/>
      </w:rPr>
      <w:tab/>
    </w:r>
  </w:p>
  <w:p w14:paraId="6F6D0EC9" w14:textId="04350C33" w:rsidR="001B5B78" w:rsidRPr="001E4689" w:rsidRDefault="001E4689" w:rsidP="001E4689">
    <w:pPr>
      <w:pStyle w:val="Zhlav"/>
      <w:spacing w:after="120"/>
      <w:jc w:val="right"/>
      <w:rPr>
        <w:rFonts w:ascii="Arial CE" w:hAnsi="Arial CE"/>
        <w:sz w:val="20"/>
        <w:szCs w:val="20"/>
      </w:rPr>
    </w:pPr>
    <w:r>
      <w:rPr>
        <w:rFonts w:ascii="Arial CE" w:hAnsi="Arial CE"/>
        <w:sz w:val="20"/>
        <w:szCs w:val="20"/>
      </w:rP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E4"/>
    <w:multiLevelType w:val="multilevel"/>
    <w:tmpl w:val="DAE66D1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7D55"/>
    <w:multiLevelType w:val="hybridMultilevel"/>
    <w:tmpl w:val="DB7A6F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0AFC"/>
    <w:multiLevelType w:val="multilevel"/>
    <w:tmpl w:val="D24A0046"/>
    <w:lvl w:ilvl="0">
      <w:start w:val="1"/>
      <w:numFmt w:val="lowerLetter"/>
      <w:lvlText w:val="%1)"/>
      <w:lvlJc w:val="left"/>
      <w:rPr>
        <w:rFonts w:ascii="Arial CE" w:eastAsia="Calibri" w:hAnsi="Arial CE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2415C"/>
    <w:multiLevelType w:val="multilevel"/>
    <w:tmpl w:val="2BB8AC0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D763CB"/>
    <w:multiLevelType w:val="multilevel"/>
    <w:tmpl w:val="80501A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3201C"/>
    <w:multiLevelType w:val="multilevel"/>
    <w:tmpl w:val="074EB9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B27DEB"/>
    <w:multiLevelType w:val="hybridMultilevel"/>
    <w:tmpl w:val="87A0745A"/>
    <w:lvl w:ilvl="0" w:tplc="8A347694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7" w15:restartNumberingAfterBreak="0">
    <w:nsid w:val="516C758E"/>
    <w:multiLevelType w:val="hybridMultilevel"/>
    <w:tmpl w:val="43569A26"/>
    <w:lvl w:ilvl="0" w:tplc="102CB09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634FD"/>
    <w:multiLevelType w:val="multilevel"/>
    <w:tmpl w:val="33BC35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426284"/>
    <w:multiLevelType w:val="multilevel"/>
    <w:tmpl w:val="783AD6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92554C"/>
    <w:multiLevelType w:val="hybridMultilevel"/>
    <w:tmpl w:val="2F265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45977">
    <w:abstractNumId w:val="3"/>
  </w:num>
  <w:num w:numId="2" w16cid:durableId="1922638513">
    <w:abstractNumId w:val="4"/>
  </w:num>
  <w:num w:numId="3" w16cid:durableId="1450007848">
    <w:abstractNumId w:val="0"/>
  </w:num>
  <w:num w:numId="4" w16cid:durableId="717166959">
    <w:abstractNumId w:val="5"/>
  </w:num>
  <w:num w:numId="5" w16cid:durableId="513686295">
    <w:abstractNumId w:val="2"/>
  </w:num>
  <w:num w:numId="6" w16cid:durableId="16318839">
    <w:abstractNumId w:val="9"/>
  </w:num>
  <w:num w:numId="7" w16cid:durableId="500899922">
    <w:abstractNumId w:val="8"/>
  </w:num>
  <w:num w:numId="8" w16cid:durableId="627012870">
    <w:abstractNumId w:val="7"/>
  </w:num>
  <w:num w:numId="9" w16cid:durableId="561062792">
    <w:abstractNumId w:val="6"/>
  </w:num>
  <w:num w:numId="10" w16cid:durableId="77364360">
    <w:abstractNumId w:val="1"/>
  </w:num>
  <w:num w:numId="11" w16cid:durableId="979457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AF"/>
    <w:rsid w:val="00090FF3"/>
    <w:rsid w:val="000E03CF"/>
    <w:rsid w:val="00192204"/>
    <w:rsid w:val="001B5B78"/>
    <w:rsid w:val="001E4689"/>
    <w:rsid w:val="001F2A36"/>
    <w:rsid w:val="002002CA"/>
    <w:rsid w:val="00202C7B"/>
    <w:rsid w:val="00216254"/>
    <w:rsid w:val="0027400E"/>
    <w:rsid w:val="0028748F"/>
    <w:rsid w:val="00294807"/>
    <w:rsid w:val="002B28C1"/>
    <w:rsid w:val="00351AAF"/>
    <w:rsid w:val="00354995"/>
    <w:rsid w:val="004F7466"/>
    <w:rsid w:val="00554858"/>
    <w:rsid w:val="005D00FA"/>
    <w:rsid w:val="005D7920"/>
    <w:rsid w:val="005E2ACA"/>
    <w:rsid w:val="00647572"/>
    <w:rsid w:val="006F15E8"/>
    <w:rsid w:val="00701583"/>
    <w:rsid w:val="007A00DC"/>
    <w:rsid w:val="007A24A0"/>
    <w:rsid w:val="007B0686"/>
    <w:rsid w:val="007F25A3"/>
    <w:rsid w:val="00802754"/>
    <w:rsid w:val="00884C5D"/>
    <w:rsid w:val="009256A4"/>
    <w:rsid w:val="00997AA7"/>
    <w:rsid w:val="00A57230"/>
    <w:rsid w:val="00AA5C67"/>
    <w:rsid w:val="00AF21FC"/>
    <w:rsid w:val="00B64A5B"/>
    <w:rsid w:val="00B94AE2"/>
    <w:rsid w:val="00BC7779"/>
    <w:rsid w:val="00C9146A"/>
    <w:rsid w:val="00D83104"/>
    <w:rsid w:val="00D87AE8"/>
    <w:rsid w:val="00D91F0C"/>
    <w:rsid w:val="00EE5896"/>
    <w:rsid w:val="00F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BBBBB"/>
  <w15:docId w15:val="{AF3C81C6-C488-4B92-8E6F-0BCC6CC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997AA7"/>
    <w:pPr>
      <w:keepNext/>
      <w:widowControl/>
      <w:tabs>
        <w:tab w:val="num" w:pos="720"/>
        <w:tab w:val="left" w:pos="2520"/>
      </w:tabs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after="120" w:line="29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120" w:line="293" w:lineRule="exact"/>
      <w:ind w:hanging="38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754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A5C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C6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A5C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C67"/>
    <w:rPr>
      <w:color w:val="000000"/>
    </w:rPr>
  </w:style>
  <w:style w:type="character" w:customStyle="1" w:styleId="Nadpis1Char">
    <w:name w:val="Nadpis 1 Char"/>
    <w:basedOn w:val="Standardnpsmoodstavce"/>
    <w:link w:val="Nadpis1"/>
    <w:rsid w:val="00997AA7"/>
    <w:rPr>
      <w:rFonts w:ascii="Times New Roman" w:eastAsia="Times New Roman" w:hAnsi="Times New Roman" w:cs="Times New Roman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Zajíček;Pavel Kubíček</dc:creator>
  <cp:lastModifiedBy>Pavel Kubíček</cp:lastModifiedBy>
  <cp:revision>2</cp:revision>
  <cp:lastPrinted>2019-07-30T08:03:00Z</cp:lastPrinted>
  <dcterms:created xsi:type="dcterms:W3CDTF">2026-01-22T09:41:00Z</dcterms:created>
  <dcterms:modified xsi:type="dcterms:W3CDTF">2026-01-22T09:41:00Z</dcterms:modified>
</cp:coreProperties>
</file>