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3E89BE7F" w:rsidR="00895010" w:rsidRPr="003E7DC0" w:rsidRDefault="00D219D0" w:rsidP="003E7DC0">
            <w:pPr>
              <w:pStyle w:val="Nzev"/>
              <w:spacing w:before="120" w:after="120"/>
              <w:rPr>
                <w:rFonts w:ascii="Calibri" w:hAnsi="Calibri" w:cs="Calibri"/>
                <w:sz w:val="32"/>
                <w:szCs w:val="32"/>
              </w:rPr>
            </w:pPr>
            <w:r w:rsidRPr="00DC12B3">
              <w:rPr>
                <w:rFonts w:ascii="Calibri" w:hAnsi="Calibri" w:cs="Calibri"/>
                <w:sz w:val="32"/>
                <w:szCs w:val="32"/>
              </w:rPr>
              <w:t>„</w:t>
            </w:r>
            <w:r w:rsidR="00B7597D" w:rsidRPr="00B7597D">
              <w:rPr>
                <w:rFonts w:ascii="Calibri" w:hAnsi="Calibri" w:cs="Calibri"/>
                <w:sz w:val="32"/>
                <w:szCs w:val="32"/>
                <w:lang w:val="cs-CZ"/>
              </w:rPr>
              <w:t xml:space="preserve">Speciální </w:t>
            </w:r>
            <w:proofErr w:type="spellStart"/>
            <w:r w:rsidR="00B7597D" w:rsidRPr="00B7597D">
              <w:rPr>
                <w:rFonts w:ascii="Calibri" w:hAnsi="Calibri" w:cs="Calibri"/>
                <w:sz w:val="32"/>
                <w:szCs w:val="32"/>
                <w:lang w:val="cs-CZ"/>
              </w:rPr>
              <w:t>penetrologger</w:t>
            </w:r>
            <w:proofErr w:type="spellEnd"/>
            <w:r w:rsidRPr="00887F35">
              <w:rPr>
                <w:rFonts w:ascii="Calibri" w:hAnsi="Calibri" w:cs="Calibr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7CAE412A"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r w:rsidR="205297A3" w:rsidRPr="32487CFB">
        <w:rPr>
          <w:rFonts w:ascii="Arial" w:eastAsia="Arial" w:hAnsi="Arial" w:cs="Arial"/>
          <w:color w:val="000000" w:themeColor="text1"/>
          <w:szCs w:val="22"/>
        </w:rPr>
        <w:t>, příkazce operace</w:t>
      </w:r>
    </w:p>
    <w:p w14:paraId="491DD676" w14:textId="0B08204D"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w:t>
      </w:r>
      <w:r>
        <w:rPr>
          <w:rFonts w:ascii="Arial" w:eastAsia="Arial" w:hAnsi="Arial" w:cs="Arial"/>
          <w:color w:val="000000" w:themeColor="text1"/>
          <w:szCs w:val="22"/>
        </w:rPr>
        <w:t xml:space="preserve"> </w:t>
      </w:r>
      <w:r w:rsidR="205297A3"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0F33017E"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0015DC" w:rsidRPr="000015DC">
        <w:rPr>
          <w:rFonts w:ascii="Arial" w:hAnsi="Arial" w:cs="Arial"/>
          <w:i/>
          <w:iCs/>
          <w:szCs w:val="22"/>
          <w:highlight w:val="lightGray"/>
        </w:rPr>
        <w:t>bude doplněno před podpisem smlouvy</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4E33517C" w:rsidR="00745227" w:rsidRPr="003E7DC0"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1D11FA">
        <w:rPr>
          <w:rFonts w:ascii="Arial" w:hAnsi="Arial" w:cs="Arial"/>
          <w:b/>
          <w:bCs/>
          <w:color w:val="000000" w:themeColor="text1"/>
          <w:szCs w:val="22"/>
        </w:rPr>
        <w:t>„</w:t>
      </w:r>
      <w:r w:rsidR="00B7597D" w:rsidRPr="00B7597D">
        <w:rPr>
          <w:rFonts w:ascii="Arial" w:hAnsi="Arial" w:cs="Arial"/>
          <w:b/>
          <w:bCs/>
          <w:color w:val="000000" w:themeColor="text1"/>
          <w:szCs w:val="22"/>
        </w:rPr>
        <w:t xml:space="preserve">Speciální </w:t>
      </w:r>
      <w:proofErr w:type="spellStart"/>
      <w:r w:rsidR="00B7597D" w:rsidRPr="00B7597D">
        <w:rPr>
          <w:rFonts w:ascii="Arial" w:hAnsi="Arial" w:cs="Arial"/>
          <w:b/>
          <w:bCs/>
          <w:color w:val="000000" w:themeColor="text1"/>
          <w:szCs w:val="22"/>
        </w:rPr>
        <w:t>penetrologger</w:t>
      </w:r>
      <w:proofErr w:type="spellEnd"/>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w:t>
      </w:r>
      <w:r w:rsidR="00DB6066">
        <w:rPr>
          <w:rFonts w:ascii="Arial" w:hAnsi="Arial" w:cs="Arial"/>
          <w:color w:val="000000" w:themeColor="text1"/>
        </w:rPr>
        <w:t> </w:t>
      </w:r>
      <w:r w:rsidRPr="003E7DC0">
        <w:rPr>
          <w:rFonts w:ascii="Arial" w:hAnsi="Arial" w:cs="Arial"/>
          <w:color w:val="000000" w:themeColor="text1"/>
        </w:rPr>
        <w:t>134/2016 Sb., o zadávání veřejných zakázek, ve znění pozdějších předpisů (dále jen „ZZVZ“)</w:t>
      </w:r>
      <w:r w:rsidR="2DAF90B7" w:rsidRPr="003E7DC0">
        <w:rPr>
          <w:rFonts w:ascii="Arial" w:hAnsi="Arial" w:cs="Arial"/>
          <w:color w:val="000000" w:themeColor="text1"/>
        </w:rPr>
        <w:t xml:space="preserve"> a v souladu s Pravidly pro 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rozhodl o výběru prodávajícího ke splnění</w:t>
      </w:r>
      <w:r w:rsidRPr="003E7DC0">
        <w:rPr>
          <w:rFonts w:ascii="Arial" w:hAnsi="Arial" w:cs="Arial"/>
          <w:color w:val="000000" w:themeColor="text1"/>
          <w:szCs w:val="22"/>
        </w:rPr>
        <w:t xml:space="preserve"> veřejné zakázky. Smluvní 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732607F7" w:rsidR="4F0F1CD4" w:rsidRDefault="4F0F1CD4" w:rsidP="32487CFB">
      <w:pPr>
        <w:numPr>
          <w:ilvl w:val="1"/>
          <w:numId w:val="3"/>
        </w:numPr>
        <w:spacing w:after="120"/>
        <w:ind w:left="567" w:hanging="567"/>
        <w:jc w:val="both"/>
        <w:rPr>
          <w:rFonts w:ascii="Arial" w:eastAsia="Arial" w:hAnsi="Arial" w:cs="Arial"/>
          <w:szCs w:val="22"/>
        </w:rPr>
      </w:pPr>
      <w:r w:rsidRPr="32487CFB">
        <w:rPr>
          <w:rFonts w:ascii="Arial" w:eastAsia="Arial" w:hAnsi="Arial" w:cs="Arial"/>
          <w:szCs w:val="22"/>
        </w:rPr>
        <w:lastRenderedPageBreak/>
        <w:t xml:space="preserve">Kupující je příjemcem dotace na veřejnou zakázku, a to z Operačního programu Jan Amos </w:t>
      </w:r>
      <w:r w:rsidRPr="007B507F">
        <w:rPr>
          <w:rFonts w:ascii="Arial" w:hAnsi="Arial" w:cs="Arial"/>
          <w:color w:val="000000" w:themeColor="text1"/>
        </w:rPr>
        <w:t xml:space="preserve">Komenský v rámci projektu </w:t>
      </w:r>
      <w:r w:rsidR="007B507F" w:rsidRPr="007B507F">
        <w:rPr>
          <w:rFonts w:ascii="Arial" w:hAnsi="Arial" w:cs="Arial"/>
          <w:color w:val="000000" w:themeColor="text1"/>
        </w:rPr>
        <w:t>Zvýšení efektivity, budování infrastruktury a rozvoj akademického prostředí (ZEBRA)</w:t>
      </w:r>
      <w:r w:rsidRPr="007B507F">
        <w:rPr>
          <w:rFonts w:ascii="Arial" w:hAnsi="Arial" w:cs="Arial"/>
          <w:color w:val="000000" w:themeColor="text1"/>
        </w:rPr>
        <w:t xml:space="preserve">, </w:t>
      </w:r>
      <w:proofErr w:type="spellStart"/>
      <w:r w:rsidRPr="007B507F">
        <w:rPr>
          <w:rFonts w:ascii="Arial" w:hAnsi="Arial" w:cs="Arial"/>
          <w:color w:val="000000" w:themeColor="text1"/>
        </w:rPr>
        <w:t>reg</w:t>
      </w:r>
      <w:proofErr w:type="spellEnd"/>
      <w:r w:rsidRPr="007B507F">
        <w:rPr>
          <w:rFonts w:ascii="Arial" w:hAnsi="Arial" w:cs="Arial"/>
          <w:color w:val="000000" w:themeColor="text1"/>
        </w:rPr>
        <w:t xml:space="preserve">. č. </w:t>
      </w:r>
      <w:r w:rsidR="007B507F" w:rsidRPr="007B507F">
        <w:rPr>
          <w:rFonts w:ascii="Arial" w:hAnsi="Arial" w:cs="Arial"/>
          <w:color w:val="000000" w:themeColor="text1"/>
        </w:rPr>
        <w:t xml:space="preserve">CZ.02.02.01/00/23_023/0009082 </w:t>
      </w:r>
      <w:r w:rsidRPr="007B507F">
        <w:rPr>
          <w:rFonts w:ascii="Arial" w:hAnsi="Arial" w:cs="Arial"/>
          <w:color w:val="000000" w:themeColor="text1"/>
        </w:rPr>
        <w:t xml:space="preserve">(dále jen </w:t>
      </w:r>
      <w:r w:rsidR="00A31363" w:rsidRPr="007B507F">
        <w:rPr>
          <w:rFonts w:ascii="Arial" w:hAnsi="Arial" w:cs="Arial"/>
          <w:color w:val="000000" w:themeColor="text1"/>
        </w:rPr>
        <w:t>„</w:t>
      </w:r>
      <w:r w:rsidRPr="007B507F">
        <w:rPr>
          <w:rFonts w:ascii="Arial" w:hAnsi="Arial" w:cs="Arial"/>
          <w:color w:val="000000" w:themeColor="text1"/>
        </w:rPr>
        <w:t>projekt”).</w:t>
      </w:r>
    </w:p>
    <w:p w14:paraId="2D793EF0" w14:textId="52806AB1" w:rsidR="4F0F1CD4" w:rsidRPr="009408D6" w:rsidRDefault="4F0F1CD4" w:rsidP="32487CFB">
      <w:pPr>
        <w:numPr>
          <w:ilvl w:val="1"/>
          <w:numId w:val="3"/>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7675E8EA" w14:textId="1E08E9DC" w:rsidR="00E00EEA" w:rsidRPr="00583D68" w:rsidRDefault="00D42A1C" w:rsidP="00583D68">
      <w:pPr>
        <w:numPr>
          <w:ilvl w:val="1"/>
          <w:numId w:val="3"/>
        </w:numPr>
        <w:spacing w:after="120"/>
        <w:ind w:left="567" w:hanging="567"/>
        <w:jc w:val="both"/>
        <w:rPr>
          <w:rFonts w:ascii="Arial" w:hAnsi="Arial" w:cs="Arial"/>
        </w:rPr>
      </w:pPr>
      <w:r w:rsidRPr="009D7A70">
        <w:rPr>
          <w:rFonts w:ascii="Arial" w:eastAsia="Arial" w:hAnsi="Arial" w:cs="Arial"/>
          <w:szCs w:val="22"/>
        </w:rPr>
        <w:t>Pře</w:t>
      </w:r>
      <w:r w:rsidRPr="00885BE3">
        <w:rPr>
          <w:rFonts w:ascii="Arial" w:eastAsia="Arial" w:hAnsi="Arial" w:cs="Arial"/>
          <w:szCs w:val="22"/>
        </w:rPr>
        <w:t xml:space="preserve">dmětem </w:t>
      </w:r>
      <w:r w:rsidRPr="004B019A">
        <w:rPr>
          <w:rFonts w:ascii="Arial" w:hAnsi="Arial" w:cs="Arial"/>
        </w:rPr>
        <w:t xml:space="preserve">smlouvy je </w:t>
      </w:r>
      <w:r w:rsidR="00745227" w:rsidRPr="004B019A">
        <w:rPr>
          <w:rFonts w:ascii="Arial" w:hAnsi="Arial" w:cs="Arial"/>
        </w:rPr>
        <w:t>dodávka</w:t>
      </w:r>
      <w:r w:rsidR="003E7DC0" w:rsidRPr="004B019A">
        <w:rPr>
          <w:rFonts w:ascii="Arial" w:hAnsi="Arial" w:cs="Arial"/>
        </w:rPr>
        <w:t xml:space="preserve"> </w:t>
      </w:r>
      <w:r w:rsidR="00B7597D" w:rsidRPr="00B7597D">
        <w:rPr>
          <w:rFonts w:ascii="Arial" w:hAnsi="Arial" w:cs="Arial"/>
        </w:rPr>
        <w:t xml:space="preserve">speciálního strojního </w:t>
      </w:r>
      <w:proofErr w:type="spellStart"/>
      <w:r w:rsidR="00B7597D" w:rsidRPr="00B7597D">
        <w:rPr>
          <w:rFonts w:ascii="Arial" w:hAnsi="Arial" w:cs="Arial"/>
        </w:rPr>
        <w:t>penetrologgeru</w:t>
      </w:r>
      <w:proofErr w:type="spellEnd"/>
      <w:r w:rsidR="004132C2" w:rsidRPr="00583D68">
        <w:rPr>
          <w:rFonts w:ascii="Arial" w:hAnsi="Arial" w:cs="Arial"/>
        </w:rPr>
        <w:t>,</w:t>
      </w:r>
      <w:r w:rsidR="005A1AA7" w:rsidRPr="00583D68">
        <w:rPr>
          <w:rFonts w:ascii="Arial" w:hAnsi="Arial" w:cs="Arial"/>
        </w:rPr>
        <w:t xml:space="preserve"> </w:t>
      </w:r>
      <w:r w:rsidR="00E00EEA" w:rsidRPr="00583D68">
        <w:rPr>
          <w:rFonts w:ascii="Arial" w:hAnsi="Arial" w:cs="Arial"/>
        </w:rPr>
        <w:t>specifikovaná podrobně v příloze č. 1 – Technická specifikace, dále též jako „zařízení“ nebo „předmět koupě</w:t>
      </w:r>
      <w:r w:rsidR="00E00EEA" w:rsidRPr="00583D68">
        <w:rPr>
          <w:rFonts w:ascii="Arial" w:eastAsia="Arial" w:hAnsi="Arial" w:cs="Arial"/>
          <w:szCs w:val="22"/>
        </w:rPr>
        <w:t>“.</w:t>
      </w:r>
    </w:p>
    <w:p w14:paraId="3811421C" w14:textId="36AACA8F" w:rsidR="00B7597D" w:rsidRDefault="00E00EEA" w:rsidP="00B7597D">
      <w:pPr>
        <w:spacing w:after="120"/>
        <w:ind w:left="567"/>
        <w:jc w:val="both"/>
        <w:rPr>
          <w:rFonts w:ascii="Arial" w:eastAsia="Arial" w:hAnsi="Arial" w:cs="Arial"/>
          <w:szCs w:val="22"/>
        </w:rPr>
      </w:pPr>
      <w:r w:rsidRPr="009D7A70">
        <w:rPr>
          <w:rFonts w:ascii="Arial" w:eastAsia="Arial" w:hAnsi="Arial" w:cs="Arial"/>
          <w:szCs w:val="22"/>
        </w:rPr>
        <w:t>Ú</w:t>
      </w:r>
      <w:r w:rsidR="00D42A1C" w:rsidRPr="009D7A70">
        <w:rPr>
          <w:rFonts w:ascii="Arial" w:eastAsia="Arial" w:hAnsi="Arial" w:cs="Arial"/>
          <w:szCs w:val="22"/>
        </w:rPr>
        <w:t>čelem j</w:t>
      </w:r>
      <w:r w:rsidR="003E7DC0" w:rsidRPr="009D7A70">
        <w:rPr>
          <w:rFonts w:ascii="Arial" w:eastAsia="Arial" w:hAnsi="Arial" w:cs="Arial"/>
          <w:szCs w:val="22"/>
        </w:rPr>
        <w:t>e</w:t>
      </w:r>
      <w:bookmarkStart w:id="0" w:name="_Hlk181960242"/>
      <w:r w:rsidR="007B507F">
        <w:rPr>
          <w:rFonts w:ascii="Arial" w:eastAsia="Arial" w:hAnsi="Arial" w:cs="Arial"/>
          <w:szCs w:val="22"/>
        </w:rPr>
        <w:t xml:space="preserve"> </w:t>
      </w:r>
      <w:r w:rsidR="004B019A" w:rsidRPr="004B019A">
        <w:rPr>
          <w:rFonts w:ascii="Arial" w:eastAsia="Arial" w:hAnsi="Arial" w:cs="Arial"/>
          <w:szCs w:val="22"/>
        </w:rPr>
        <w:t xml:space="preserve">zajištění </w:t>
      </w:r>
      <w:r w:rsidR="00B7597D" w:rsidRPr="00B7597D">
        <w:rPr>
          <w:rFonts w:ascii="Arial" w:eastAsia="Arial" w:hAnsi="Arial" w:cs="Arial"/>
          <w:szCs w:val="22"/>
        </w:rPr>
        <w:t xml:space="preserve">detekce </w:t>
      </w:r>
      <w:proofErr w:type="spellStart"/>
      <w:r w:rsidR="00B7597D" w:rsidRPr="00B7597D">
        <w:rPr>
          <w:rFonts w:ascii="Arial" w:eastAsia="Arial" w:hAnsi="Arial" w:cs="Arial"/>
          <w:szCs w:val="22"/>
        </w:rPr>
        <w:t>pedokompakce</w:t>
      </w:r>
      <w:proofErr w:type="spellEnd"/>
      <w:r w:rsidR="00B7597D" w:rsidRPr="00B7597D">
        <w:rPr>
          <w:rFonts w:ascii="Arial" w:eastAsia="Arial" w:hAnsi="Arial" w:cs="Arial"/>
          <w:szCs w:val="22"/>
        </w:rPr>
        <w:t xml:space="preserve"> v hloubkovém profilu, včetně kombinace sběru dalších půdních charakteristik, ve které je tento speciální </w:t>
      </w:r>
      <w:proofErr w:type="spellStart"/>
      <w:r w:rsidR="00B7597D" w:rsidRPr="00B7597D">
        <w:rPr>
          <w:rFonts w:ascii="Arial" w:eastAsia="Arial" w:hAnsi="Arial" w:cs="Arial"/>
          <w:szCs w:val="22"/>
        </w:rPr>
        <w:t>penetrologger</w:t>
      </w:r>
      <w:proofErr w:type="spellEnd"/>
      <w:r w:rsidR="00B7597D" w:rsidRPr="00B7597D">
        <w:rPr>
          <w:rFonts w:ascii="Arial" w:eastAsia="Arial" w:hAnsi="Arial" w:cs="Arial"/>
          <w:szCs w:val="22"/>
        </w:rPr>
        <w:t xml:space="preserve"> klíčovým komponentem.</w:t>
      </w:r>
    </w:p>
    <w:bookmarkEnd w:id="0"/>
    <w:p w14:paraId="5913DC91" w14:textId="10273A7F"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 xml:space="preserve">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 dle této smlouvy. </w:t>
      </w:r>
    </w:p>
    <w:p w14:paraId="5B0AF485" w14:textId="3FE6DA17"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 zadávacími podmínkami veřejné zakázky</w:t>
      </w:r>
      <w:r w:rsidR="00F9061F" w:rsidRPr="009C24C2">
        <w:rPr>
          <w:rFonts w:ascii="Arial" w:hAnsi="Arial" w:cs="Arial"/>
        </w:rPr>
        <w:t>.</w:t>
      </w:r>
    </w:p>
    <w:p w14:paraId="7A20B55D" w14:textId="0F5401F5"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14545240" w:rsidR="00DA303B"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5E6C5065" w14:textId="510B6930"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 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35CCE095" w14:textId="77952B95" w:rsidR="00B16AB7" w:rsidRPr="00555F4C" w:rsidRDefault="00B16AB7" w:rsidP="32487CFB">
      <w:pPr>
        <w:pStyle w:val="Zkladntextodsazen2"/>
        <w:numPr>
          <w:ilvl w:val="0"/>
          <w:numId w:val="7"/>
        </w:numPr>
        <w:spacing w:after="120"/>
        <w:rPr>
          <w:rFonts w:ascii="Arial" w:hAnsi="Arial" w:cs="Arial"/>
        </w:rPr>
      </w:pPr>
      <w:r w:rsidRPr="00555F4C">
        <w:rPr>
          <w:rFonts w:ascii="Arial" w:hAnsi="Arial" w:cs="Arial"/>
        </w:rPr>
        <w:t>zaškolení k obsluze v českém jazyce v</w:t>
      </w:r>
      <w:r w:rsidR="00B7597D">
        <w:rPr>
          <w:rFonts w:ascii="Arial" w:hAnsi="Arial" w:cs="Arial"/>
        </w:rPr>
        <w:t> </w:t>
      </w:r>
      <w:r w:rsidRPr="00555F4C">
        <w:rPr>
          <w:rFonts w:ascii="Arial" w:hAnsi="Arial" w:cs="Arial"/>
        </w:rPr>
        <w:t>rozsahu</w:t>
      </w:r>
      <w:r w:rsidR="00B7597D">
        <w:rPr>
          <w:rFonts w:ascii="Arial" w:hAnsi="Arial" w:cs="Arial"/>
        </w:rPr>
        <w:t xml:space="preserve"> alespoň 5</w:t>
      </w:r>
      <w:r w:rsidR="00902C55" w:rsidRPr="00887F35">
        <w:rPr>
          <w:rFonts w:ascii="Arial" w:hAnsi="Arial" w:cs="Arial"/>
        </w:rPr>
        <w:t xml:space="preserve"> </w:t>
      </w:r>
      <w:r w:rsidR="00AA1A5D" w:rsidRPr="00887F35">
        <w:rPr>
          <w:rFonts w:ascii="Arial" w:hAnsi="Arial" w:cs="Arial"/>
        </w:rPr>
        <w:t>hodin</w:t>
      </w:r>
      <w:r w:rsidR="00AA1A5D" w:rsidRPr="00555F4C">
        <w:rPr>
          <w:rFonts w:ascii="Arial" w:hAnsi="Arial" w:cs="Arial"/>
        </w:rPr>
        <w:t xml:space="preserve"> pro alespoň</w:t>
      </w:r>
      <w:r w:rsidR="004A6E64">
        <w:rPr>
          <w:rFonts w:ascii="Arial" w:hAnsi="Arial" w:cs="Arial"/>
        </w:rPr>
        <w:t xml:space="preserve"> 2</w:t>
      </w:r>
      <w:r w:rsidR="005A1AA7">
        <w:rPr>
          <w:rFonts w:ascii="Arial" w:hAnsi="Arial" w:cs="Arial"/>
        </w:rPr>
        <w:t xml:space="preserve"> </w:t>
      </w:r>
      <w:r w:rsidR="00AA1A5D" w:rsidRPr="00555F4C">
        <w:rPr>
          <w:rFonts w:ascii="Arial" w:hAnsi="Arial" w:cs="Arial"/>
        </w:rPr>
        <w:t>osob</w:t>
      </w:r>
      <w:r w:rsidR="004B019A">
        <w:rPr>
          <w:rFonts w:ascii="Arial" w:hAnsi="Arial" w:cs="Arial"/>
        </w:rPr>
        <w:t>y</w:t>
      </w:r>
      <w:r w:rsidR="00AA1A5D" w:rsidRPr="00555F4C">
        <w:rPr>
          <w:rFonts w:ascii="Arial" w:hAnsi="Arial" w:cs="Arial"/>
        </w:rPr>
        <w:t xml:space="preserve"> kupujícího</w:t>
      </w:r>
      <w:r w:rsidRPr="00555F4C">
        <w:rPr>
          <w:rFonts w:ascii="Arial" w:hAnsi="Arial" w:cs="Arial"/>
        </w:rPr>
        <w:t xml:space="preserve">, o zaškolení bude prodávajícím </w:t>
      </w:r>
      <w:r w:rsidR="009C73CB" w:rsidRPr="00555F4C">
        <w:rPr>
          <w:rFonts w:ascii="Arial" w:hAnsi="Arial" w:cs="Arial"/>
        </w:rPr>
        <w:t>vyhotoven</w:t>
      </w:r>
      <w:r w:rsidRPr="00555F4C">
        <w:rPr>
          <w:rFonts w:ascii="Arial" w:hAnsi="Arial" w:cs="Arial"/>
        </w:rPr>
        <w:t xml:space="preserve"> protokol;</w:t>
      </w:r>
    </w:p>
    <w:p w14:paraId="085AD51F" w14:textId="375ED45E"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B7597D">
        <w:rPr>
          <w:rFonts w:ascii="Arial" w:hAnsi="Arial" w:cs="Arial"/>
          <w:szCs w:val="22"/>
        </w:rPr>
        <w:t xml:space="preserve"> tištěné nebo </w:t>
      </w:r>
      <w:r w:rsidR="00887F35">
        <w:rPr>
          <w:rFonts w:ascii="Arial" w:hAnsi="Arial" w:cs="Arial"/>
          <w:szCs w:val="22"/>
        </w:rPr>
        <w:t>elektronické podobě v</w:t>
      </w:r>
      <w:r w:rsidR="00583D68">
        <w:rPr>
          <w:rFonts w:ascii="Arial" w:hAnsi="Arial" w:cs="Arial"/>
          <w:szCs w:val="22"/>
        </w:rPr>
        <w:t xml:space="preserve"> anglickém</w:t>
      </w:r>
      <w:r w:rsidR="00F55F44">
        <w:rPr>
          <w:rFonts w:ascii="Arial" w:hAnsi="Arial" w:cs="Arial"/>
          <w:szCs w:val="22"/>
        </w:rPr>
        <w:t xml:space="preserve"> </w:t>
      </w:r>
      <w:r w:rsidRPr="00834071">
        <w:rPr>
          <w:rFonts w:ascii="Arial" w:hAnsi="Arial" w:cs="Arial"/>
          <w:szCs w:val="22"/>
        </w:rPr>
        <w:t>jazyce</w:t>
      </w:r>
      <w:r w:rsidR="000A0E43" w:rsidRPr="00834071">
        <w:rPr>
          <w:rFonts w:ascii="Arial" w:hAnsi="Arial" w:cs="Arial"/>
          <w:szCs w:val="22"/>
        </w:rPr>
        <w:t>;</w:t>
      </w:r>
    </w:p>
    <w:p w14:paraId="20822F00" w14:textId="14AB543A"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6E2825F3"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 spolu se všemi právy nutnými k jeho řádnému a nerušenému nakládání a 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lastRenderedPageBreak/>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394DEB48"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mlouvy snažit minimalizovat dopad na životní prostředí,</w:t>
      </w:r>
      <w:r w:rsidR="004609A4">
        <w:rPr>
          <w:rFonts w:ascii="Arial" w:hAnsi="Arial" w:cs="Arial"/>
          <w:szCs w:val="22"/>
        </w:rPr>
        <w:t xml:space="preserve"> třídit odpad</w:t>
      </w:r>
      <w:r w:rsidR="00E06FCC">
        <w:rPr>
          <w:rFonts w:ascii="Arial" w:hAnsi="Arial" w:cs="Arial"/>
          <w:szCs w:val="22"/>
        </w:rPr>
        <w:t>,</w:t>
      </w:r>
      <w:r w:rsidRPr="00734981">
        <w:rPr>
          <w:rFonts w:ascii="Arial" w:hAnsi="Arial" w:cs="Arial"/>
          <w:szCs w:val="22"/>
        </w:rPr>
        <w:t xml:space="preserve">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w:t>
      </w:r>
      <w:r w:rsidRPr="32487CFB">
        <w:rPr>
          <w:rFonts w:ascii="Arial" w:hAnsi="Arial" w:cs="Arial"/>
          <w:color w:val="000000" w:themeColor="text1"/>
        </w:rPr>
        <w:lastRenderedPageBreak/>
        <w:t xml:space="preserve">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482AFF6C" w:rsidR="00803297" w:rsidRDefault="00DA303B" w:rsidP="00555F4C">
      <w:pPr>
        <w:pStyle w:val="Odstavecseseznamem"/>
        <w:numPr>
          <w:ilvl w:val="0"/>
          <w:numId w:val="9"/>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 xml:space="preserve">nejpozději do </w:t>
      </w:r>
      <w:r w:rsidR="005419F1">
        <w:rPr>
          <w:rFonts w:ascii="Arial" w:eastAsia="Calibri" w:hAnsi="Arial" w:cs="Arial"/>
          <w:b/>
        </w:rPr>
        <w:t>3 měsíců</w:t>
      </w:r>
      <w:r w:rsidRPr="00E77E8A">
        <w:rPr>
          <w:rFonts w:ascii="Arial" w:eastAsia="Calibri" w:hAnsi="Arial" w:cs="Arial"/>
          <w:b/>
        </w:rPr>
        <w:t xml:space="preserve"> </w:t>
      </w:r>
      <w:r w:rsidR="00774784" w:rsidRPr="00E77E8A">
        <w:rPr>
          <w:rFonts w:ascii="Arial" w:eastAsia="Calibri" w:hAnsi="Arial" w:cs="Arial"/>
          <w:b/>
        </w:rPr>
        <w:t>od 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7CE09C6" w14:textId="54670D87" w:rsidR="009C73CB" w:rsidRDefault="009C73CB" w:rsidP="00555F4C">
      <w:pPr>
        <w:pStyle w:val="Odstavecseseznamem"/>
        <w:ind w:left="567"/>
        <w:jc w:val="both"/>
      </w:pPr>
    </w:p>
    <w:p w14:paraId="52E76D97" w14:textId="782066A3" w:rsidR="00AE7DE4" w:rsidRDefault="00DA303B" w:rsidP="00AE7DE4">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047019AB" w14:textId="67F6CEA6" w:rsidR="009C73CB" w:rsidRDefault="00DA303B" w:rsidP="00724C4E">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0015DC" w:rsidRPr="000015DC">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0C38490D" w14:textId="69DB1F80" w:rsidR="009C73CB"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0950">
        <w:rPr>
          <w:rFonts w:ascii="Arial" w:hAnsi="Arial" w:cs="Arial"/>
        </w:rPr>
        <w:t xml:space="preserve">: </w:t>
      </w:r>
      <w:r w:rsidR="004717AD" w:rsidRPr="004717AD">
        <w:rPr>
          <w:rFonts w:ascii="Arial" w:hAnsi="Arial" w:cs="Arial"/>
          <w:b/>
          <w:bCs/>
        </w:rPr>
        <w:t xml:space="preserve">Mendelova univerzita v Brně, Agronomická fakulta, Ústav </w:t>
      </w:r>
      <w:r w:rsidR="005419F1">
        <w:rPr>
          <w:rFonts w:ascii="Arial" w:hAnsi="Arial" w:cs="Arial"/>
          <w:b/>
          <w:bCs/>
        </w:rPr>
        <w:t>techniky a automobilové dopravy</w:t>
      </w:r>
      <w:r w:rsidR="004B019A">
        <w:rPr>
          <w:rFonts w:ascii="Arial" w:hAnsi="Arial" w:cs="Arial"/>
          <w:b/>
          <w:bCs/>
        </w:rPr>
        <w:t xml:space="preserve"> (2</w:t>
      </w:r>
      <w:r w:rsidR="005419F1">
        <w:rPr>
          <w:rFonts w:ascii="Arial" w:hAnsi="Arial" w:cs="Arial"/>
          <w:b/>
          <w:bCs/>
        </w:rPr>
        <w:t>28</w:t>
      </w:r>
      <w:r w:rsidR="004B019A">
        <w:rPr>
          <w:rFonts w:ascii="Arial" w:hAnsi="Arial" w:cs="Arial"/>
          <w:b/>
          <w:bCs/>
        </w:rPr>
        <w:t>)</w:t>
      </w:r>
      <w:r w:rsidR="00144F6D">
        <w:rPr>
          <w:rFonts w:ascii="Arial" w:hAnsi="Arial" w:cs="Arial"/>
          <w:b/>
          <w:bCs/>
        </w:rPr>
        <w:t>,</w:t>
      </w:r>
      <w:r w:rsidR="004717AD" w:rsidRPr="004717AD">
        <w:rPr>
          <w:rFonts w:ascii="Arial" w:hAnsi="Arial" w:cs="Arial"/>
          <w:b/>
          <w:bCs/>
        </w:rPr>
        <w:t xml:space="preserve"> Zemědělská 1665/1, 613 00 Brno</w:t>
      </w:r>
      <w:r w:rsidRPr="00555F4C">
        <w:rPr>
          <w:rFonts w:ascii="Arial" w:hAnsi="Arial" w:cs="Arial"/>
        </w:rPr>
        <w:t>, k</w:t>
      </w:r>
      <w:r w:rsidRPr="009C73CB">
        <w:rPr>
          <w:rFonts w:ascii="Arial" w:hAnsi="Arial" w:cs="Arial"/>
        </w:rPr>
        <w:t xml:space="preserve"> rukám </w:t>
      </w:r>
      <w:r w:rsidR="00D069DD" w:rsidRPr="00D069DD">
        <w:rPr>
          <w:rFonts w:ascii="Arial" w:hAnsi="Arial" w:cs="Arial"/>
          <w:i/>
          <w:iCs/>
          <w:highlight w:val="lightGray"/>
        </w:rPr>
        <w:t>bude doplněno před podpisem smlouvy</w:t>
      </w:r>
      <w:r w:rsidR="00E77E8A">
        <w:rPr>
          <w:rFonts w:ascii="Arial" w:hAnsi="Arial" w:cs="Arial"/>
        </w:rPr>
        <w:t>,</w:t>
      </w:r>
      <w:r w:rsidRPr="009C73CB">
        <w:rPr>
          <w:rFonts w:ascii="Arial" w:hAnsi="Arial" w:cs="Arial"/>
        </w:rPr>
        <w:t xml:space="preserve"> kter</w:t>
      </w:r>
      <w:r w:rsidR="009D7A70">
        <w:rPr>
          <w:rFonts w:ascii="Arial" w:hAnsi="Arial" w:cs="Arial"/>
        </w:rPr>
        <w:t>ý</w:t>
      </w:r>
      <w:r w:rsidRPr="009C73CB">
        <w:rPr>
          <w:rFonts w:ascii="Arial" w:hAnsi="Arial" w:cs="Arial"/>
        </w:rPr>
        <w:t xml:space="preserve"> je oprávněn</w:t>
      </w:r>
      <w:r w:rsidR="009D7A70">
        <w:rPr>
          <w:rFonts w:ascii="Arial" w:hAnsi="Arial" w:cs="Arial"/>
        </w:rPr>
        <w:t>ý</w:t>
      </w:r>
      <w:r w:rsidRPr="009C73CB">
        <w:rPr>
          <w:rFonts w:ascii="Arial" w:hAnsi="Arial" w:cs="Arial"/>
        </w:rPr>
        <w:t xml:space="preserve">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řešení předloží prodávající kupujícímu ke schválení v dostatečném předstihu. 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41F4D752" w14:textId="1F0275B3" w:rsidR="00583D68" w:rsidRPr="009C73CB" w:rsidRDefault="00066D3C" w:rsidP="00583D68">
      <w:pPr>
        <w:pStyle w:val="Odstavecseseznamem"/>
        <w:numPr>
          <w:ilvl w:val="0"/>
          <w:numId w:val="9"/>
        </w:numPr>
        <w:spacing w:line="280" w:lineRule="exact"/>
        <w:ind w:left="567" w:hanging="567"/>
        <w:jc w:val="both"/>
        <w:rPr>
          <w:rFonts w:ascii="Arial" w:hAnsi="Arial" w:cs="Arial"/>
        </w:rPr>
      </w:pPr>
      <w:r>
        <w:rPr>
          <w:rFonts w:ascii="Arial" w:hAnsi="Arial" w:cs="Arial"/>
        </w:rPr>
        <w:t>Z</w:t>
      </w:r>
      <w:r w:rsidR="00583D68" w:rsidRPr="005C631A">
        <w:rPr>
          <w:rFonts w:ascii="Arial" w:hAnsi="Arial" w:cs="Arial"/>
        </w:rPr>
        <w:t>ařízení může být</w:t>
      </w:r>
      <w:r w:rsidR="00583D68" w:rsidRPr="000015DC">
        <w:rPr>
          <w:rFonts w:ascii="Arial" w:hAnsi="Arial" w:cs="Arial"/>
        </w:rPr>
        <w:t xml:space="preserve"> prodávajícím předáno kupujícímu. Pro tyto účely předá prodávající kupujícímu Protokol o předání</w:t>
      </w:r>
      <w:r w:rsidR="00583D68" w:rsidRPr="009C73CB">
        <w:rPr>
          <w:rFonts w:ascii="Arial" w:hAnsi="Arial" w:cs="Arial"/>
        </w:rPr>
        <w:t xml:space="preserve"> a převzetí</w:t>
      </w:r>
      <w:r w:rsidR="00583D68">
        <w:rPr>
          <w:rFonts w:ascii="Arial" w:hAnsi="Arial" w:cs="Arial"/>
        </w:rPr>
        <w:t xml:space="preserve"> zařízení obsahující</w:t>
      </w:r>
      <w:r w:rsidR="00583D68"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lastRenderedPageBreak/>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4DB7AAAF" w:rsidR="00774784" w:rsidRPr="004132C2"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7F06AFAB" w14:textId="77777777" w:rsidR="00583D68" w:rsidRPr="00591451" w:rsidRDefault="00583D68" w:rsidP="005419F1">
      <w:pPr>
        <w:pStyle w:val="Zkladntextodsazen2"/>
        <w:spacing w:after="120"/>
        <w:ind w:firstLine="0"/>
        <w:rPr>
          <w:rFonts w:ascii="Arial" w:hAnsi="Arial" w:cs="Arial"/>
        </w:rPr>
      </w:pPr>
    </w:p>
    <w:p w14:paraId="63D743B2" w14:textId="3B435E3D" w:rsidR="00774784" w:rsidRPr="000C073F" w:rsidRDefault="00774784" w:rsidP="00774784">
      <w:pPr>
        <w:pStyle w:val="Nadpis1"/>
      </w:pPr>
      <w:r w:rsidRPr="000C073F">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65BFF5CD" w14:textId="77777777" w:rsidR="00B92E37"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.1 této smlouvy,</w:t>
      </w:r>
      <w:r w:rsidR="00B92E37">
        <w:rPr>
          <w:rFonts w:ascii="Arial" w:hAnsi="Arial" w:cs="Arial"/>
          <w:sz w:val="22"/>
          <w:szCs w:val="22"/>
        </w:rPr>
        <w:t xml:space="preserve"> a to ve dvou splátkách takto:</w:t>
      </w:r>
    </w:p>
    <w:p w14:paraId="4602D14D" w14:textId="0B90C082" w:rsidR="00B92E37" w:rsidRDefault="00B92E37" w:rsidP="000173B9">
      <w:pPr>
        <w:pStyle w:val="Textvbloku"/>
        <w:numPr>
          <w:ilvl w:val="1"/>
          <w:numId w:val="8"/>
        </w:numPr>
        <w:tabs>
          <w:tab w:val="clear" w:pos="284"/>
        </w:tabs>
        <w:spacing w:after="120" w:line="280" w:lineRule="atLeast"/>
        <w:ind w:right="57"/>
        <w:rPr>
          <w:rFonts w:ascii="Arial" w:hAnsi="Arial" w:cs="Arial"/>
          <w:sz w:val="22"/>
          <w:szCs w:val="22"/>
        </w:rPr>
      </w:pPr>
      <w:r w:rsidRPr="000173B9">
        <w:rPr>
          <w:rFonts w:ascii="Arial" w:hAnsi="Arial" w:cs="Arial"/>
          <w:sz w:val="22"/>
          <w:szCs w:val="22"/>
        </w:rPr>
        <w:t>40 % kupní ceny kupující uhradí do 15 pracovních dnů ode dne přijetí objednávky zaslané písemně prostřednictvím systému SAP prodávajícím, jak je uvedeno v čl. II odst. 2.1 této smlouvy, na bankovní účet prodávajícího uvedený v záhlaví této smlouvy,</w:t>
      </w:r>
      <w:r w:rsidR="00774784" w:rsidRPr="000C073F">
        <w:rPr>
          <w:rFonts w:ascii="Arial" w:hAnsi="Arial" w:cs="Arial"/>
          <w:sz w:val="22"/>
          <w:szCs w:val="22"/>
        </w:rPr>
        <w:t xml:space="preserve"> </w:t>
      </w:r>
    </w:p>
    <w:p w14:paraId="220585FD" w14:textId="15686344" w:rsidR="00591451" w:rsidRPr="00B92E37" w:rsidRDefault="00B92E37" w:rsidP="000173B9">
      <w:pPr>
        <w:pStyle w:val="Textvbloku"/>
        <w:numPr>
          <w:ilvl w:val="1"/>
          <w:numId w:val="8"/>
        </w:numPr>
        <w:tabs>
          <w:tab w:val="clear" w:pos="284"/>
        </w:tabs>
        <w:spacing w:after="120" w:line="280" w:lineRule="atLeast"/>
        <w:ind w:right="57"/>
        <w:rPr>
          <w:rFonts w:ascii="Arial" w:hAnsi="Arial" w:cs="Arial"/>
          <w:sz w:val="22"/>
          <w:szCs w:val="22"/>
        </w:rPr>
      </w:pPr>
      <w:r w:rsidRPr="000173B9">
        <w:rPr>
          <w:rFonts w:ascii="Arial" w:hAnsi="Arial" w:cs="Arial"/>
          <w:sz w:val="22"/>
          <w:szCs w:val="22"/>
        </w:rPr>
        <w:t xml:space="preserve">zbývajících 60 % na základě prodávajícím vystaveného a kupujícímu prokazatelně doručeného daňového dokladu (dále také jako „faktura“). Daňový doklad může být </w:t>
      </w:r>
      <w:r w:rsidRPr="000173B9">
        <w:rPr>
          <w:rFonts w:ascii="Arial" w:hAnsi="Arial" w:cs="Arial"/>
          <w:sz w:val="22"/>
          <w:szCs w:val="22"/>
        </w:rPr>
        <w:lastRenderedPageBreak/>
        <w:t>vystaven pouze na základě kupujícím potvrzeného Protokolu o předání a převzetí zařízení</w:t>
      </w:r>
      <w:r w:rsidR="00774784" w:rsidRPr="00B92E37">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347BA239"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7BB16453"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00933847">
        <w:rPr>
          <w:rFonts w:ascii="Arial" w:hAnsi="Arial" w:cs="Arial"/>
          <w:b/>
          <w:sz w:val="22"/>
          <w:szCs w:val="22"/>
        </w:rPr>
        <w:t xml:space="preserve"> dnů</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lastRenderedPageBreak/>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5C565B8C" w:rsidR="003862D4" w:rsidRDefault="003862D4" w:rsidP="32487CFB">
      <w:pPr>
        <w:pStyle w:val="Textvbloku"/>
        <w:numPr>
          <w:ilvl w:val="0"/>
          <w:numId w:val="11"/>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tj. „</w:t>
      </w:r>
      <w:r w:rsidR="00BD6C66" w:rsidRPr="00BD6C66">
        <w:rPr>
          <w:rFonts w:ascii="Arial" w:hAnsi="Arial" w:cs="Arial"/>
          <w:sz w:val="22"/>
          <w:szCs w:val="22"/>
        </w:rPr>
        <w:t xml:space="preserve">Zvýšení efektivity, budování infrastruktury a rozvoj akademického prostředí (ZEBRA), </w:t>
      </w:r>
      <w:proofErr w:type="spellStart"/>
      <w:r w:rsidR="00BD6C66" w:rsidRPr="00BD6C66">
        <w:rPr>
          <w:rFonts w:ascii="Arial" w:hAnsi="Arial" w:cs="Arial"/>
          <w:sz w:val="22"/>
          <w:szCs w:val="22"/>
        </w:rPr>
        <w:t>reg</w:t>
      </w:r>
      <w:proofErr w:type="spellEnd"/>
      <w:r w:rsidR="00BD6C66" w:rsidRPr="00BD6C66">
        <w:rPr>
          <w:rFonts w:ascii="Arial" w:hAnsi="Arial" w:cs="Arial"/>
          <w:sz w:val="22"/>
          <w:szCs w:val="22"/>
        </w:rPr>
        <w:t>. č. CZ.02.02.01/00/23_023/0009082</w:t>
      </w:r>
      <w:r w:rsidR="3E4F1EA9" w:rsidRPr="0060382A">
        <w:rPr>
          <w:rFonts w:ascii="Arial" w:hAnsi="Arial" w:cs="Arial"/>
          <w:sz w:val="22"/>
          <w:szCs w:val="22"/>
        </w:rPr>
        <w:t>“</w:t>
      </w:r>
      <w:r w:rsidR="00AB4F31" w:rsidRPr="0060382A">
        <w:rPr>
          <w:rFonts w:ascii="Arial" w:hAnsi="Arial" w:cs="Arial"/>
          <w:sz w:val="22"/>
          <w:szCs w:val="22"/>
        </w:rPr>
        <w:t>.</w:t>
      </w:r>
    </w:p>
    <w:p w14:paraId="7803009E" w14:textId="77777777" w:rsidR="005419F1" w:rsidRPr="0060382A" w:rsidRDefault="005419F1" w:rsidP="005419F1">
      <w:pPr>
        <w:pStyle w:val="Textvbloku"/>
        <w:tabs>
          <w:tab w:val="clear" w:pos="284"/>
        </w:tabs>
        <w:spacing w:after="120" w:line="280" w:lineRule="atLeast"/>
        <w:ind w:left="567" w:right="57" w:firstLine="0"/>
        <w:rPr>
          <w:rFonts w:ascii="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4C861C53" w:rsidR="00DA303B" w:rsidRPr="006F162F" w:rsidRDefault="00DA303B" w:rsidP="00724C4E">
      <w:pPr>
        <w:pStyle w:val="Odstavecseseznamem"/>
        <w:numPr>
          <w:ilvl w:val="0"/>
          <w:numId w:val="12"/>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827B5E">
        <w:rPr>
          <w:rFonts w:ascii="Arial" w:hAnsi="Arial" w:cs="Arial"/>
          <w:b/>
          <w:highlight w:val="yellow"/>
        </w:rPr>
        <w:t xml:space="preserve">24 </w:t>
      </w:r>
      <w:r w:rsidR="00BD6C66">
        <w:rPr>
          <w:rFonts w:ascii="Arial" w:hAnsi="Arial" w:cs="Arial"/>
          <w:b/>
          <w:highlight w:val="yellow"/>
        </w:rPr>
        <w:t xml:space="preserve">měsíců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24C4E">
      <w:pPr>
        <w:pStyle w:val="Odstavecseseznamem"/>
        <w:numPr>
          <w:ilvl w:val="1"/>
          <w:numId w:val="13"/>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24C4E">
      <w:pPr>
        <w:pStyle w:val="Odstavecseseznamem"/>
        <w:numPr>
          <w:ilvl w:val="1"/>
          <w:numId w:val="13"/>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0B2B85">
      <w:pPr>
        <w:pStyle w:val="Odstavecseseznamem"/>
        <w:numPr>
          <w:ilvl w:val="0"/>
          <w:numId w:val="12"/>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5102A46B" w:rsidR="00E81FAE"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 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lastRenderedPageBreak/>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6A47EF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739749AD" w14:textId="2217D966"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w:t>
      </w:r>
      <w:r w:rsidRPr="00685CC8">
        <w:rPr>
          <w:rFonts w:ascii="Arial" w:hAnsi="Arial" w:cs="Arial"/>
          <w:color w:val="000000"/>
        </w:rPr>
        <w:lastRenderedPageBreak/>
        <w:t>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1A0AEA33"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620950" w:rsidRPr="00555F4C">
        <w:rPr>
          <w:rFonts w:ascii="Arial" w:eastAsiaTheme="minorHAnsi" w:hAnsi="Arial" w:cs="Arial"/>
          <w:bCs/>
        </w:rPr>
        <w:t>8</w:t>
      </w:r>
      <w:r w:rsidRPr="00555F4C">
        <w:rPr>
          <w:rFonts w:ascii="Arial" w:eastAsiaTheme="minorHAnsi" w:hAnsi="Arial" w:cs="Arial"/>
          <w:bCs/>
        </w:rPr>
        <w:t xml:space="preserve"> písm. f)</w:t>
      </w:r>
      <w:r w:rsidRPr="00734981">
        <w:rPr>
          <w:rFonts w:ascii="Arial" w:eastAsiaTheme="minorHAnsi" w:hAnsi="Arial" w:cs="Arial"/>
          <w:bCs/>
        </w:rPr>
        <w:t xml:space="preserve"> </w:t>
      </w:r>
      <w:r w:rsidR="00E06FCC">
        <w:rPr>
          <w:rFonts w:ascii="Arial" w:eastAsiaTheme="minorHAnsi" w:hAnsi="Arial" w:cs="Arial"/>
          <w:bCs/>
        </w:rPr>
        <w:t xml:space="preserve">a povinnosti </w:t>
      </w:r>
      <w:r w:rsidR="00E06FCC" w:rsidRPr="00734981">
        <w:rPr>
          <w:rFonts w:ascii="Arial" w:hAnsi="Arial" w:cs="Arial"/>
          <w:szCs w:val="22"/>
        </w:rPr>
        <w:t>minimalizovat dopad na životní prostředí</w:t>
      </w:r>
      <w:r w:rsidR="00E06FCC" w:rsidRPr="00555F4C">
        <w:rPr>
          <w:rFonts w:ascii="Arial" w:eastAsiaTheme="minorHAnsi" w:hAnsi="Arial" w:cs="Arial"/>
          <w:bCs/>
        </w:rPr>
        <w:t xml:space="preserve"> podle čl. I. odst. 1.8 písm. </w:t>
      </w:r>
      <w:r w:rsidR="00E06FCC">
        <w:rPr>
          <w:rFonts w:ascii="Arial" w:eastAsiaTheme="minorHAnsi" w:hAnsi="Arial" w:cs="Arial"/>
          <w:bCs/>
        </w:rPr>
        <w:t>g</w:t>
      </w:r>
      <w:r w:rsidR="00E06FCC" w:rsidRPr="00555F4C">
        <w:rPr>
          <w:rFonts w:ascii="Arial" w:eastAsiaTheme="minorHAnsi" w:hAnsi="Arial" w:cs="Arial"/>
          <w:bCs/>
        </w:rPr>
        <w:t>)</w:t>
      </w:r>
      <w:r w:rsidR="00E06FCC" w:rsidRPr="00734981">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1D5D2733"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 neprokáže, že toto prodlení bylo způsobeno opožděným uvolněním prostředků z 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052679BC" w:rsidR="00B20A58" w:rsidRPr="005419F1" w:rsidRDefault="00221E71"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3018CE8E" w14:textId="42B8EC56" w:rsidR="005419F1" w:rsidRDefault="005419F1" w:rsidP="005419F1">
      <w:pPr>
        <w:pStyle w:val="Zkladntextodsazen3"/>
        <w:spacing w:after="120" w:line="280" w:lineRule="exact"/>
        <w:ind w:left="567" w:firstLine="0"/>
        <w:jc w:val="both"/>
        <w:rPr>
          <w:rFonts w:ascii="Arial" w:hAnsi="Arial" w:cs="Arial"/>
        </w:rPr>
      </w:pPr>
    </w:p>
    <w:p w14:paraId="4B4F7569" w14:textId="77777777" w:rsidR="005419F1" w:rsidRPr="000A48E8" w:rsidRDefault="005419F1" w:rsidP="005419F1">
      <w:pPr>
        <w:pStyle w:val="Zkladntextodsazen3"/>
        <w:spacing w:after="120"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65F3A534" w:rsidR="00221E71" w:rsidRPr="009C24C2" w:rsidRDefault="00221E71" w:rsidP="009C24C2">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488251F1" w:rsidR="00DA303B" w:rsidRDefault="00DA303B" w:rsidP="00324E30">
      <w:pPr>
        <w:pStyle w:val="Odstavecseseznamem"/>
        <w:numPr>
          <w:ilvl w:val="1"/>
          <w:numId w:val="45"/>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324E30">
        <w:rPr>
          <w:rFonts w:ascii="Arial" w:hAnsi="Arial" w:cs="Arial"/>
        </w:rPr>
        <w:t>,</w:t>
      </w:r>
      <w:r w:rsidRPr="00324E30">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4A8E6E21" w14:textId="77777777" w:rsidR="00324E30" w:rsidRPr="00324E30" w:rsidRDefault="00324E30" w:rsidP="00324E30">
      <w:pPr>
        <w:pStyle w:val="Odstavecseseznamem"/>
        <w:spacing w:after="120"/>
        <w:jc w:val="both"/>
        <w:rPr>
          <w:rFonts w:ascii="Arial" w:hAnsi="Arial" w:cs="Arial"/>
        </w:rPr>
      </w:pPr>
    </w:p>
    <w:p w14:paraId="5A1CF92D" w14:textId="0384C881" w:rsidR="00324E30" w:rsidRDefault="00E06FCC" w:rsidP="004B019A">
      <w:pPr>
        <w:pStyle w:val="Odstavecseseznamem"/>
        <w:numPr>
          <w:ilvl w:val="1"/>
          <w:numId w:val="45"/>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w:t>
      </w:r>
      <w:r>
        <w:rPr>
          <w:rFonts w:ascii="Arial" w:hAnsi="Arial" w:cs="Arial"/>
        </w:rPr>
        <w:lastRenderedPageBreak/>
        <w:t xml:space="preserve">materiál využívá výrazně nehospodárně, a které generují velké množství skleníkových plynů nebo odpadu. </w:t>
      </w:r>
    </w:p>
    <w:p w14:paraId="371E2A93" w14:textId="77777777" w:rsidR="004B019A" w:rsidRPr="004B019A" w:rsidRDefault="004B019A" w:rsidP="004B019A">
      <w:pPr>
        <w:pStyle w:val="Odstavecseseznamem"/>
        <w:rPr>
          <w:rFonts w:ascii="Arial" w:hAnsi="Arial" w:cs="Arial"/>
        </w:rPr>
      </w:pPr>
    </w:p>
    <w:p w14:paraId="180C9E36" w14:textId="77777777" w:rsidR="004B019A" w:rsidRPr="004B019A" w:rsidRDefault="004B019A" w:rsidP="004B019A">
      <w:pPr>
        <w:pStyle w:val="Odstavecseseznamem"/>
        <w:spacing w:after="120"/>
        <w:jc w:val="both"/>
        <w:rPr>
          <w:rFonts w:ascii="Arial" w:hAnsi="Arial" w:cs="Arial"/>
        </w:rPr>
      </w:pPr>
    </w:p>
    <w:p w14:paraId="4995AC00" w14:textId="062D1A66" w:rsidR="00324E30" w:rsidRPr="0015500D" w:rsidRDefault="00E06FCC" w:rsidP="0015500D">
      <w:pPr>
        <w:pStyle w:val="Odstavecseseznamem"/>
        <w:numPr>
          <w:ilvl w:val="1"/>
          <w:numId w:val="45"/>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C5B42FE" w14:textId="3320E03C" w:rsidR="00E06FCC" w:rsidRDefault="00E06FCC" w:rsidP="00324E30">
      <w:pPr>
        <w:pStyle w:val="Odstavecseseznamem"/>
        <w:numPr>
          <w:ilvl w:val="2"/>
          <w:numId w:val="50"/>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0F472535" w14:textId="77777777" w:rsidR="00324E30" w:rsidRPr="00324E30" w:rsidRDefault="00324E30" w:rsidP="00324E30">
      <w:pPr>
        <w:pStyle w:val="Odstavecseseznamem"/>
        <w:spacing w:after="120"/>
        <w:ind w:left="851"/>
        <w:jc w:val="both"/>
        <w:rPr>
          <w:rFonts w:ascii="Arial" w:hAnsi="Arial" w:cs="Arial"/>
        </w:rPr>
      </w:pPr>
    </w:p>
    <w:p w14:paraId="54261557" w14:textId="7711CFFA" w:rsidR="00E06FCC" w:rsidRDefault="00E06FCC" w:rsidP="00324E30">
      <w:pPr>
        <w:pStyle w:val="Odstavecseseznamem"/>
        <w:numPr>
          <w:ilvl w:val="2"/>
          <w:numId w:val="50"/>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593DD0FE" w14:textId="540D893D" w:rsidR="00E06FCC" w:rsidRPr="00324E30" w:rsidRDefault="00E06FCC" w:rsidP="0015500D">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w:t>
      </w:r>
      <w:r w:rsidRPr="003862D4">
        <w:rPr>
          <w:rFonts w:ascii="Arial" w:hAnsi="Arial" w:cs="Arial"/>
        </w:rPr>
        <w:lastRenderedPageBreak/>
        <w:t xml:space="preserve">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6CC4950" w:rsidR="003862D4" w:rsidRDefault="006B365A"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425812A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0C06A714" w14:textId="77777777" w:rsidR="005419F1" w:rsidRPr="005419F1" w:rsidRDefault="005419F1" w:rsidP="005419F1">
      <w:pPr>
        <w:pStyle w:val="Odstavecseseznamem"/>
        <w:rPr>
          <w:rFonts w:ascii="Arial" w:hAnsi="Arial" w:cs="Arial"/>
        </w:rPr>
      </w:pPr>
    </w:p>
    <w:p w14:paraId="47CFDAB8" w14:textId="77777777" w:rsidR="005419F1" w:rsidRPr="003862D4" w:rsidRDefault="005419F1" w:rsidP="005419F1">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lastRenderedPageBreak/>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210D6F7F"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66A85E5F"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68F656D6"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 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518B3FA8"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 xml:space="preserve">Tato smlouva nabývá platnosti dnem přiložení podpisu poslední smluvní strany a účinnosti dnem uveřejnění v centrálním registru smluv v souladu se zákonem č. 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DF47A84" w:rsidR="00645B31" w:rsidRPr="004848FC" w:rsidRDefault="001A1C69" w:rsidP="0060382A">
      <w:pPr>
        <w:pStyle w:val="Odstavecseseznamem"/>
        <w:numPr>
          <w:ilvl w:val="0"/>
          <w:numId w:val="22"/>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168CB222"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452CA348" w:rsidR="00DA303B" w:rsidRPr="00D966B0" w:rsidRDefault="00446BC7" w:rsidP="00D966B0">
      <w:pPr>
        <w:spacing w:after="120"/>
        <w:ind w:firstLine="567"/>
        <w:jc w:val="both"/>
        <w:rPr>
          <w:rFonts w:ascii="Arial" w:hAnsi="Arial" w:cs="Arial"/>
        </w:rPr>
      </w:pPr>
      <w:r w:rsidRPr="009C24C2">
        <w:rPr>
          <w:rFonts w:ascii="Arial" w:hAnsi="Arial" w:cs="Arial"/>
        </w:rPr>
        <w:t xml:space="preserve">Příloha č. 1 - Technická specifikace </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7CEC4FC7"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60382A">
      <w:pPr>
        <w:tabs>
          <w:tab w:val="left" w:pos="4680"/>
        </w:tabs>
        <w:ind w:left="284"/>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60382A">
      <w:pPr>
        <w:tabs>
          <w:tab w:val="left" w:pos="4820"/>
        </w:tabs>
        <w:ind w:left="4820"/>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24DA5703" w14:textId="72D6C88D" w:rsidR="006E326C" w:rsidRDefault="006E326C" w:rsidP="0060382A">
      <w:pPr>
        <w:tabs>
          <w:tab w:val="left" w:pos="4820"/>
        </w:tabs>
        <w:ind w:left="4820"/>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p>
    <w:p w14:paraId="61B037AA" w14:textId="04720299"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62BCAC42"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60382A">
      <w:pPr>
        <w:tabs>
          <w:tab w:val="left" w:pos="4680"/>
        </w:tabs>
        <w:ind w:left="284"/>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0896302B"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2" w:name="_Hlk157096740"/>
      <w:r w:rsidR="006E326C">
        <w:rPr>
          <w:rFonts w:ascii="Arial" w:hAnsi="Arial" w:cs="Arial"/>
          <w:szCs w:val="22"/>
        </w:rPr>
        <w:t>Mgr</w:t>
      </w:r>
      <w:r w:rsidRPr="0060382A">
        <w:rPr>
          <w:rFonts w:ascii="Arial" w:hAnsi="Arial" w:cs="Arial"/>
          <w:szCs w:val="22"/>
        </w:rPr>
        <w:t xml:space="preserve">. </w:t>
      </w:r>
      <w:r w:rsidR="006E326C">
        <w:rPr>
          <w:rFonts w:ascii="Arial" w:hAnsi="Arial" w:cs="Arial"/>
          <w:szCs w:val="22"/>
        </w:rPr>
        <w:t>Luděk Hanák</w:t>
      </w:r>
    </w:p>
    <w:p w14:paraId="65880BB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rozpočtu</w:t>
      </w:r>
      <w:bookmarkEnd w:id="2"/>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A6032" w14:textId="77777777" w:rsidR="006816DA" w:rsidRDefault="006816DA" w:rsidP="003649BB">
      <w:r>
        <w:separator/>
      </w:r>
    </w:p>
  </w:endnote>
  <w:endnote w:type="continuationSeparator" w:id="0">
    <w:p w14:paraId="036CC839" w14:textId="77777777" w:rsidR="006816DA" w:rsidRDefault="006816DA"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59D5BF1A" w:rsidR="003E7DC0" w:rsidRDefault="003E7DC0" w:rsidP="003E7DC0">
        <w:pPr>
          <w:pStyle w:val="Zpat"/>
          <w:tabs>
            <w:tab w:val="clear" w:pos="9072"/>
            <w:tab w:val="left" w:pos="6750"/>
          </w:tabs>
        </w:pPr>
        <w:r>
          <w:rPr>
            <w:noProof/>
          </w:rPr>
          <w:drawing>
            <wp:anchor distT="0" distB="0" distL="114300" distR="114300" simplePos="0" relativeHeight="251661312" behindDoc="0" locked="0" layoutInCell="1" allowOverlap="1" wp14:anchorId="7874EDE5" wp14:editId="734828E7">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1D2E3E47" w:rsidR="003E7DC0" w:rsidRDefault="003E7DC0">
        <w:pPr>
          <w:pStyle w:val="Zpat"/>
          <w:jc w:val="center"/>
        </w:pPr>
        <w:r>
          <w:fldChar w:fldCharType="begin"/>
        </w:r>
        <w:r>
          <w:instrText>PAGE   \* MERGEFORMAT</w:instrText>
        </w:r>
        <w:r>
          <w:fldChar w:fldCharType="separate"/>
        </w:r>
        <w:r w:rsidR="000F4E27">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A31F" w14:textId="77777777" w:rsidR="006816DA" w:rsidRDefault="006816DA" w:rsidP="003649BB">
      <w:r>
        <w:separator/>
      </w:r>
    </w:p>
  </w:footnote>
  <w:footnote w:type="continuationSeparator" w:id="0">
    <w:p w14:paraId="1822CAFB" w14:textId="77777777" w:rsidR="006816DA" w:rsidRDefault="006816DA"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49F" w14:textId="1B7CFD94" w:rsidR="003E7DC0" w:rsidRDefault="006753BD" w:rsidP="007B507F">
    <w:pPr>
      <w:pStyle w:val="Zhlav"/>
      <w:tabs>
        <w:tab w:val="clear" w:pos="4536"/>
        <w:tab w:val="clear" w:pos="9072"/>
        <w:tab w:val="left" w:pos="348"/>
        <w:tab w:val="left" w:pos="840"/>
        <w:tab w:val="center" w:pos="4535"/>
        <w:tab w:val="right" w:pos="9071"/>
      </w:tabs>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0" locked="0" layoutInCell="1" allowOverlap="1" wp14:anchorId="5D70E265" wp14:editId="7D1B8F5C">
          <wp:simplePos x="0" y="0"/>
          <wp:positionH relativeFrom="margin">
            <wp:align>right</wp:align>
          </wp:positionH>
          <wp:positionV relativeFrom="paragraph">
            <wp:posOffset>-368377</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r w:rsidR="007B507F">
      <w:rPr>
        <w:rFonts w:ascii="Calibri" w:hAnsi="Calibri" w:cs="Calibri"/>
        <w:color w:val="242424"/>
        <w:shd w:val="clear" w:color="auto" w:fill="FFFFFF"/>
      </w:rPr>
      <w:tab/>
    </w:r>
    <w:r w:rsidR="007B507F">
      <w:rPr>
        <w:rFonts w:ascii="Calibri" w:hAnsi="Calibri" w:cs="Calibri"/>
        <w:color w:val="242424"/>
        <w:shd w:val="clear" w:color="auto" w:fill="FFFFFF"/>
      </w:rPr>
      <w:tab/>
    </w:r>
    <w:r w:rsidR="007B507F">
      <w:rPr>
        <w:rFonts w:ascii="Calibri" w:hAnsi="Calibri" w:cs="Calibri"/>
        <w:color w:val="242424"/>
        <w:shd w:val="clear" w:color="auto" w:fill="FFFFFF"/>
      </w:rPr>
      <w:tab/>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0F3E6C12"/>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771ED5"/>
    <w:multiLevelType w:val="hybridMultilevel"/>
    <w:tmpl w:val="D44050A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47086DBA">
      <w:start w:val="8"/>
      <w:numFmt w:val="bullet"/>
      <w:lvlText w:val="-"/>
      <w:lvlJc w:val="left"/>
      <w:pPr>
        <w:ind w:left="2907" w:hanging="360"/>
      </w:pPr>
      <w:rPr>
        <w:rFonts w:ascii="Arial" w:eastAsiaTheme="minorHAnsi" w:hAnsi="Arial" w:cs="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20"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2" w15:restartNumberingAfterBreak="0">
    <w:nsid w:val="3D036B2A"/>
    <w:multiLevelType w:val="hybridMultilevel"/>
    <w:tmpl w:val="12CC81A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E48C65DE">
      <w:start w:val="8"/>
      <w:numFmt w:val="bullet"/>
      <w:lvlText w:val="-"/>
      <w:lvlJc w:val="left"/>
      <w:pPr>
        <w:ind w:left="567" w:firstLine="198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FAB4715"/>
    <w:multiLevelType w:val="hybridMultilevel"/>
    <w:tmpl w:val="7842053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5D9EE3D2">
      <w:start w:val="8"/>
      <w:numFmt w:val="bullet"/>
      <w:lvlText w:val="-"/>
      <w:lvlJc w:val="left"/>
      <w:pPr>
        <w:ind w:left="851" w:firstLine="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3" w15:restartNumberingAfterBreak="0">
    <w:nsid w:val="586315A4"/>
    <w:multiLevelType w:val="multilevel"/>
    <w:tmpl w:val="FE14E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7"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4A6DF6"/>
    <w:multiLevelType w:val="hybridMultilevel"/>
    <w:tmpl w:val="8EB67636"/>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929CD500">
      <w:start w:val="8"/>
      <w:numFmt w:val="bullet"/>
      <w:lvlText w:val="-"/>
      <w:lvlJc w:val="left"/>
      <w:pPr>
        <w:ind w:left="851" w:hanging="284"/>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335AC8"/>
    <w:multiLevelType w:val="multilevel"/>
    <w:tmpl w:val="5816CCC2"/>
    <w:lvl w:ilvl="0">
      <w:start w:val="8"/>
      <w:numFmt w:val="decimal"/>
      <w:lvlText w:val="%1"/>
      <w:lvlJc w:val="left"/>
      <w:pPr>
        <w:ind w:left="360" w:hanging="360"/>
      </w:pPr>
    </w:lvl>
    <w:lvl w:ilvl="1">
      <w:start w:val="2"/>
      <w:numFmt w:val="decimal"/>
      <w:lvlText w:val="%1.%2"/>
      <w:lvlJc w:val="left"/>
      <w:pPr>
        <w:ind w:left="502" w:hanging="360"/>
      </w:pPr>
      <w:rPr>
        <w:b/>
        <w:bCs/>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3" w15:restartNumberingAfterBreak="0">
    <w:nsid w:val="7646248C"/>
    <w:multiLevelType w:val="hybridMultilevel"/>
    <w:tmpl w:val="9C806254"/>
    <w:lvl w:ilvl="0" w:tplc="AF36551C">
      <w:numFmt w:val="bullet"/>
      <w:lvlText w:val="-"/>
      <w:lvlJc w:val="left"/>
      <w:pPr>
        <w:ind w:left="720" w:hanging="360"/>
      </w:pPr>
      <w:rPr>
        <w:rFonts w:ascii="Arial" w:eastAsia="Times New Roman"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7"/>
  </w:num>
  <w:num w:numId="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38"/>
  </w:num>
  <w:num w:numId="11">
    <w:abstractNumId w:val="35"/>
  </w:num>
  <w:num w:numId="12">
    <w:abstractNumId w:val="37"/>
  </w:num>
  <w:num w:numId="13">
    <w:abstractNumId w:val="9"/>
  </w:num>
  <w:num w:numId="14">
    <w:abstractNumId w:val="31"/>
  </w:num>
  <w:num w:numId="15">
    <w:abstractNumId w:val="44"/>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30"/>
  </w:num>
  <w:num w:numId="20">
    <w:abstractNumId w:val="41"/>
  </w:num>
  <w:num w:numId="21">
    <w:abstractNumId w:val="23"/>
  </w:num>
  <w:num w:numId="22">
    <w:abstractNumId w:val="1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6"/>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9"/>
  </w:num>
  <w:num w:numId="30">
    <w:abstractNumId w:val="1"/>
  </w:num>
  <w:num w:numId="31">
    <w:abstractNumId w:val="8"/>
  </w:num>
  <w:num w:numId="32">
    <w:abstractNumId w:val="20"/>
  </w:num>
  <w:num w:numId="33">
    <w:abstractNumId w:val="30"/>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4"/>
  </w:num>
  <w:num w:numId="36">
    <w:abstractNumId w:val="28"/>
  </w:num>
  <w:num w:numId="37">
    <w:abstractNumId w:val="27"/>
  </w:num>
  <w:num w:numId="38">
    <w:abstractNumId w:val="10"/>
  </w:num>
  <w:num w:numId="39">
    <w:abstractNumId w:val="14"/>
  </w:num>
  <w:num w:numId="40">
    <w:abstractNumId w:val="21"/>
  </w:num>
  <w:num w:numId="41">
    <w:abstractNumId w:val="30"/>
    <w:lvlOverride w:ilvl="0">
      <w:lvl w:ilvl="0" w:tplc="ADE020E6">
        <w:start w:val="1"/>
        <w:numFmt w:val="decimal"/>
        <w:lvlText w:val="8.1"/>
        <w:lvlJc w:val="left"/>
        <w:pPr>
          <w:ind w:left="502" w:hanging="360"/>
        </w:pPr>
        <w:rPr>
          <w:rFonts w:ascii="Arial" w:hAnsi="Arial" w:cs="Arial" w:hint="default"/>
          <w:b/>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42">
    <w:abstractNumId w:val="4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9"/>
  </w:num>
  <w:num w:numId="46">
    <w:abstractNumId w:val="33"/>
  </w:num>
  <w:num w:numId="47">
    <w:abstractNumId w:val="22"/>
  </w:num>
  <w:num w:numId="48">
    <w:abstractNumId w:val="25"/>
  </w:num>
  <w:num w:numId="49">
    <w:abstractNumId w:val="40"/>
  </w:num>
  <w:num w:numId="5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6D30"/>
    <w:rsid w:val="000173B9"/>
    <w:rsid w:val="00020576"/>
    <w:rsid w:val="00026996"/>
    <w:rsid w:val="00044291"/>
    <w:rsid w:val="00057F15"/>
    <w:rsid w:val="000661B2"/>
    <w:rsid w:val="00066D3C"/>
    <w:rsid w:val="00071D1F"/>
    <w:rsid w:val="00085690"/>
    <w:rsid w:val="0008742B"/>
    <w:rsid w:val="000A0E43"/>
    <w:rsid w:val="000A3914"/>
    <w:rsid w:val="000A48E8"/>
    <w:rsid w:val="000A55CB"/>
    <w:rsid w:val="000B2B85"/>
    <w:rsid w:val="000B5363"/>
    <w:rsid w:val="000C073F"/>
    <w:rsid w:val="000C173E"/>
    <w:rsid w:val="000D0FFE"/>
    <w:rsid w:val="000D1A84"/>
    <w:rsid w:val="000D24D3"/>
    <w:rsid w:val="000D2B09"/>
    <w:rsid w:val="000D32F3"/>
    <w:rsid w:val="000F3A21"/>
    <w:rsid w:val="000F4E27"/>
    <w:rsid w:val="001112F7"/>
    <w:rsid w:val="00115B4B"/>
    <w:rsid w:val="00123CE4"/>
    <w:rsid w:val="001272C1"/>
    <w:rsid w:val="00142C0E"/>
    <w:rsid w:val="001439A6"/>
    <w:rsid w:val="00144F6D"/>
    <w:rsid w:val="0015500D"/>
    <w:rsid w:val="00162A52"/>
    <w:rsid w:val="001650A6"/>
    <w:rsid w:val="00171A38"/>
    <w:rsid w:val="00173A79"/>
    <w:rsid w:val="001759E6"/>
    <w:rsid w:val="001808D2"/>
    <w:rsid w:val="00190DED"/>
    <w:rsid w:val="0019323C"/>
    <w:rsid w:val="001A0E27"/>
    <w:rsid w:val="001A1C69"/>
    <w:rsid w:val="001B696D"/>
    <w:rsid w:val="001D11FA"/>
    <w:rsid w:val="001D7198"/>
    <w:rsid w:val="00200188"/>
    <w:rsid w:val="00203B89"/>
    <w:rsid w:val="00221E71"/>
    <w:rsid w:val="00233723"/>
    <w:rsid w:val="00255288"/>
    <w:rsid w:val="00265BA0"/>
    <w:rsid w:val="0027555D"/>
    <w:rsid w:val="00284704"/>
    <w:rsid w:val="00293EFF"/>
    <w:rsid w:val="002951B1"/>
    <w:rsid w:val="002963CB"/>
    <w:rsid w:val="002A52B6"/>
    <w:rsid w:val="002A7E64"/>
    <w:rsid w:val="002B148D"/>
    <w:rsid w:val="002B6F5E"/>
    <w:rsid w:val="002D3A7D"/>
    <w:rsid w:val="002E3DF7"/>
    <w:rsid w:val="002F3FE2"/>
    <w:rsid w:val="00302738"/>
    <w:rsid w:val="0030523E"/>
    <w:rsid w:val="003150E7"/>
    <w:rsid w:val="0031553B"/>
    <w:rsid w:val="00324E30"/>
    <w:rsid w:val="00332C29"/>
    <w:rsid w:val="0033504D"/>
    <w:rsid w:val="00353FB0"/>
    <w:rsid w:val="003625D7"/>
    <w:rsid w:val="003649BB"/>
    <w:rsid w:val="003727FB"/>
    <w:rsid w:val="003751C6"/>
    <w:rsid w:val="003862D4"/>
    <w:rsid w:val="00391389"/>
    <w:rsid w:val="00394408"/>
    <w:rsid w:val="00397D08"/>
    <w:rsid w:val="003A737B"/>
    <w:rsid w:val="003D2352"/>
    <w:rsid w:val="003E4AB1"/>
    <w:rsid w:val="003E7DC0"/>
    <w:rsid w:val="00401F3D"/>
    <w:rsid w:val="004132C2"/>
    <w:rsid w:val="00417E42"/>
    <w:rsid w:val="00443D64"/>
    <w:rsid w:val="00446BC7"/>
    <w:rsid w:val="004609A4"/>
    <w:rsid w:val="004612A1"/>
    <w:rsid w:val="0046445F"/>
    <w:rsid w:val="004717AD"/>
    <w:rsid w:val="00482F6D"/>
    <w:rsid w:val="00483234"/>
    <w:rsid w:val="004837F0"/>
    <w:rsid w:val="00483BA5"/>
    <w:rsid w:val="004848FC"/>
    <w:rsid w:val="00492B51"/>
    <w:rsid w:val="00492F05"/>
    <w:rsid w:val="004941CB"/>
    <w:rsid w:val="004A0C12"/>
    <w:rsid w:val="004A6E64"/>
    <w:rsid w:val="004B019A"/>
    <w:rsid w:val="004C7FF0"/>
    <w:rsid w:val="004D1B51"/>
    <w:rsid w:val="004F2056"/>
    <w:rsid w:val="005118EE"/>
    <w:rsid w:val="0051251E"/>
    <w:rsid w:val="00517E6B"/>
    <w:rsid w:val="00521BCF"/>
    <w:rsid w:val="0053244A"/>
    <w:rsid w:val="005331CA"/>
    <w:rsid w:val="005419F1"/>
    <w:rsid w:val="005518BB"/>
    <w:rsid w:val="00555F4C"/>
    <w:rsid w:val="005671DE"/>
    <w:rsid w:val="00567FD0"/>
    <w:rsid w:val="00577E38"/>
    <w:rsid w:val="00583D68"/>
    <w:rsid w:val="0058668E"/>
    <w:rsid w:val="00587CB4"/>
    <w:rsid w:val="00591451"/>
    <w:rsid w:val="00597F7F"/>
    <w:rsid w:val="005A0B88"/>
    <w:rsid w:val="005A1AA7"/>
    <w:rsid w:val="005A3D3A"/>
    <w:rsid w:val="005A5F04"/>
    <w:rsid w:val="005A7337"/>
    <w:rsid w:val="005B3962"/>
    <w:rsid w:val="005C189A"/>
    <w:rsid w:val="005C222F"/>
    <w:rsid w:val="005C6E72"/>
    <w:rsid w:val="005E03CA"/>
    <w:rsid w:val="005E6036"/>
    <w:rsid w:val="0060382A"/>
    <w:rsid w:val="00605D70"/>
    <w:rsid w:val="00612D8F"/>
    <w:rsid w:val="00617406"/>
    <w:rsid w:val="00620950"/>
    <w:rsid w:val="00626933"/>
    <w:rsid w:val="00627959"/>
    <w:rsid w:val="00645B31"/>
    <w:rsid w:val="00672655"/>
    <w:rsid w:val="006753BD"/>
    <w:rsid w:val="006816DA"/>
    <w:rsid w:val="00685CC8"/>
    <w:rsid w:val="006865AD"/>
    <w:rsid w:val="006B365A"/>
    <w:rsid w:val="006B7009"/>
    <w:rsid w:val="006C41BB"/>
    <w:rsid w:val="006C78B6"/>
    <w:rsid w:val="006D0C7F"/>
    <w:rsid w:val="006D538D"/>
    <w:rsid w:val="006E02F4"/>
    <w:rsid w:val="006E326C"/>
    <w:rsid w:val="006F162F"/>
    <w:rsid w:val="00706744"/>
    <w:rsid w:val="0071640D"/>
    <w:rsid w:val="00720F8C"/>
    <w:rsid w:val="00724C4E"/>
    <w:rsid w:val="00734981"/>
    <w:rsid w:val="0073674E"/>
    <w:rsid w:val="00745227"/>
    <w:rsid w:val="00774784"/>
    <w:rsid w:val="00786932"/>
    <w:rsid w:val="00791CB9"/>
    <w:rsid w:val="00797F4A"/>
    <w:rsid w:val="007A75FA"/>
    <w:rsid w:val="007B507F"/>
    <w:rsid w:val="007B76F5"/>
    <w:rsid w:val="007C299F"/>
    <w:rsid w:val="007C5591"/>
    <w:rsid w:val="007D56B6"/>
    <w:rsid w:val="007E5891"/>
    <w:rsid w:val="007F4D29"/>
    <w:rsid w:val="0080153E"/>
    <w:rsid w:val="00803297"/>
    <w:rsid w:val="00804443"/>
    <w:rsid w:val="00827B5E"/>
    <w:rsid w:val="008330A5"/>
    <w:rsid w:val="00834071"/>
    <w:rsid w:val="00841209"/>
    <w:rsid w:val="00846EF6"/>
    <w:rsid w:val="0085367F"/>
    <w:rsid w:val="0088205F"/>
    <w:rsid w:val="00885BE3"/>
    <w:rsid w:val="00887F35"/>
    <w:rsid w:val="0089126F"/>
    <w:rsid w:val="00895010"/>
    <w:rsid w:val="008A0719"/>
    <w:rsid w:val="008B3131"/>
    <w:rsid w:val="008B672C"/>
    <w:rsid w:val="008C08C0"/>
    <w:rsid w:val="008D3956"/>
    <w:rsid w:val="008E1A22"/>
    <w:rsid w:val="00902C55"/>
    <w:rsid w:val="009103CB"/>
    <w:rsid w:val="00913852"/>
    <w:rsid w:val="00914378"/>
    <w:rsid w:val="00917722"/>
    <w:rsid w:val="009221B6"/>
    <w:rsid w:val="00933847"/>
    <w:rsid w:val="009408D6"/>
    <w:rsid w:val="009432B1"/>
    <w:rsid w:val="00957DB4"/>
    <w:rsid w:val="00960A3E"/>
    <w:rsid w:val="00963AE4"/>
    <w:rsid w:val="00965BA0"/>
    <w:rsid w:val="00977405"/>
    <w:rsid w:val="0098245A"/>
    <w:rsid w:val="00987116"/>
    <w:rsid w:val="009871FF"/>
    <w:rsid w:val="009B0E58"/>
    <w:rsid w:val="009B59A6"/>
    <w:rsid w:val="009C24C2"/>
    <w:rsid w:val="009C73CB"/>
    <w:rsid w:val="009D13DA"/>
    <w:rsid w:val="009D7A70"/>
    <w:rsid w:val="00A17C49"/>
    <w:rsid w:val="00A31363"/>
    <w:rsid w:val="00A40951"/>
    <w:rsid w:val="00A5133A"/>
    <w:rsid w:val="00A53C36"/>
    <w:rsid w:val="00A56D2C"/>
    <w:rsid w:val="00A81FB9"/>
    <w:rsid w:val="00A927B4"/>
    <w:rsid w:val="00AA1A5D"/>
    <w:rsid w:val="00AA31A0"/>
    <w:rsid w:val="00AB4F31"/>
    <w:rsid w:val="00AB5677"/>
    <w:rsid w:val="00AC696F"/>
    <w:rsid w:val="00AE7DE4"/>
    <w:rsid w:val="00B16AB7"/>
    <w:rsid w:val="00B20229"/>
    <w:rsid w:val="00B20A58"/>
    <w:rsid w:val="00B23E8C"/>
    <w:rsid w:val="00B3420F"/>
    <w:rsid w:val="00B4393F"/>
    <w:rsid w:val="00B714B8"/>
    <w:rsid w:val="00B7597D"/>
    <w:rsid w:val="00B92E37"/>
    <w:rsid w:val="00BB5FA9"/>
    <w:rsid w:val="00BD1177"/>
    <w:rsid w:val="00BD6C66"/>
    <w:rsid w:val="00BE65B6"/>
    <w:rsid w:val="00C006A0"/>
    <w:rsid w:val="00C016F5"/>
    <w:rsid w:val="00C07C82"/>
    <w:rsid w:val="00C14AF3"/>
    <w:rsid w:val="00C315E1"/>
    <w:rsid w:val="00C37CB1"/>
    <w:rsid w:val="00C5357B"/>
    <w:rsid w:val="00C77B09"/>
    <w:rsid w:val="00C83C63"/>
    <w:rsid w:val="00C83DFA"/>
    <w:rsid w:val="00C93236"/>
    <w:rsid w:val="00C974CC"/>
    <w:rsid w:val="00CC0E26"/>
    <w:rsid w:val="00CC5731"/>
    <w:rsid w:val="00CD219B"/>
    <w:rsid w:val="00CD3C22"/>
    <w:rsid w:val="00CE7538"/>
    <w:rsid w:val="00CF0238"/>
    <w:rsid w:val="00D069DD"/>
    <w:rsid w:val="00D139EA"/>
    <w:rsid w:val="00D15A69"/>
    <w:rsid w:val="00D219D0"/>
    <w:rsid w:val="00D411D3"/>
    <w:rsid w:val="00D42A1C"/>
    <w:rsid w:val="00D46DA8"/>
    <w:rsid w:val="00D554F8"/>
    <w:rsid w:val="00D607D4"/>
    <w:rsid w:val="00D73880"/>
    <w:rsid w:val="00D838DC"/>
    <w:rsid w:val="00D85000"/>
    <w:rsid w:val="00D92503"/>
    <w:rsid w:val="00D93B84"/>
    <w:rsid w:val="00D966B0"/>
    <w:rsid w:val="00D97193"/>
    <w:rsid w:val="00DA303B"/>
    <w:rsid w:val="00DB3364"/>
    <w:rsid w:val="00DB6066"/>
    <w:rsid w:val="00DC01BF"/>
    <w:rsid w:val="00DC5159"/>
    <w:rsid w:val="00E002D4"/>
    <w:rsid w:val="00E00EEA"/>
    <w:rsid w:val="00E06FCC"/>
    <w:rsid w:val="00E245AE"/>
    <w:rsid w:val="00E45A6D"/>
    <w:rsid w:val="00E507A2"/>
    <w:rsid w:val="00E57235"/>
    <w:rsid w:val="00E74A72"/>
    <w:rsid w:val="00E77E8A"/>
    <w:rsid w:val="00E81FAE"/>
    <w:rsid w:val="00E968EA"/>
    <w:rsid w:val="00EC101D"/>
    <w:rsid w:val="00ED2544"/>
    <w:rsid w:val="00EF7FDE"/>
    <w:rsid w:val="00F04138"/>
    <w:rsid w:val="00F07204"/>
    <w:rsid w:val="00F07EC2"/>
    <w:rsid w:val="00F10EE3"/>
    <w:rsid w:val="00F2471D"/>
    <w:rsid w:val="00F37FB1"/>
    <w:rsid w:val="00F40B32"/>
    <w:rsid w:val="00F51826"/>
    <w:rsid w:val="00F55F44"/>
    <w:rsid w:val="00F77438"/>
    <w:rsid w:val="00F81193"/>
    <w:rsid w:val="00F817D3"/>
    <w:rsid w:val="00F9061F"/>
    <w:rsid w:val="00F9503E"/>
    <w:rsid w:val="00FA0774"/>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864051868">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21154900">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9348-2BDB-4706-B6FF-AA0AC7F2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14</Pages>
  <Words>4931</Words>
  <Characters>29093</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Svenssonová</dc:creator>
  <cp:keywords/>
  <dc:description/>
  <cp:lastModifiedBy>Antónia Polášek</cp:lastModifiedBy>
  <cp:revision>36</cp:revision>
  <cp:lastPrinted>2022-02-28T08:30:00Z</cp:lastPrinted>
  <dcterms:created xsi:type="dcterms:W3CDTF">2025-04-09T14:56:00Z</dcterms:created>
  <dcterms:modified xsi:type="dcterms:W3CDTF">2026-02-03T11:30:00Z</dcterms:modified>
</cp:coreProperties>
</file>