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E1FDD1B" w:rsidR="002667F4" w:rsidRPr="00404A66" w:rsidRDefault="00E15AA5" w:rsidP="00597C95">
            <w:pPr>
              <w:spacing w:before="40" w:after="40"/>
              <w:rPr>
                <w:rFonts w:ascii="Arial" w:hAnsi="Arial" w:cs="Arial"/>
                <w:b/>
                <w:bCs/>
                <w:color w:val="000000"/>
                <w:sz w:val="20"/>
                <w:szCs w:val="20"/>
              </w:rPr>
            </w:pPr>
            <w:r w:rsidRPr="00E15AA5">
              <w:rPr>
                <w:rFonts w:ascii="Arial" w:hAnsi="Arial" w:cs="Arial"/>
                <w:b/>
                <w:bCs/>
                <w:color w:val="000000"/>
                <w:sz w:val="20"/>
                <w:szCs w:val="20"/>
              </w:rPr>
              <w:t>Nákup požárních čidel v budově Q</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0AA633B" w14:textId="7D707B2B" w:rsidR="000F5C0F" w:rsidRPr="0086137F" w:rsidRDefault="002667F4" w:rsidP="0086137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sidRPr="0086137F">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788C4A" w14:textId="57725888" w:rsidR="00201830" w:rsidRDefault="00201830" w:rsidP="00201830">
      <w:pPr>
        <w:spacing w:after="0"/>
        <w:jc w:val="center"/>
        <w:outlineLvl w:val="1"/>
        <w:rPr>
          <w:rFonts w:ascii="Arial" w:hAnsi="Arial" w:cs="Arial"/>
          <w:bCs/>
          <w:iCs/>
          <w:sz w:val="20"/>
          <w:szCs w:val="20"/>
        </w:rPr>
      </w:pPr>
    </w:p>
    <w:p w14:paraId="58BB3FD5" w14:textId="77777777" w:rsidR="00E15AA5" w:rsidRDefault="00E15AA5"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lastRenderedPageBreak/>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280A4B56" w:rsidR="00AD2BC6" w:rsidRPr="00716217" w:rsidRDefault="004D7BB3" w:rsidP="00205583">
      <w:pPr>
        <w:pStyle w:val="Normalni-slovn"/>
        <w:numPr>
          <w:ilvl w:val="0"/>
          <w:numId w:val="22"/>
        </w:numPr>
        <w:spacing w:after="60" w:line="280" w:lineRule="exact"/>
        <w:rPr>
          <w:rFonts w:ascii="Arial" w:hAnsi="Arial" w:cs="Arial"/>
          <w:sz w:val="20"/>
          <w:szCs w:val="20"/>
        </w:rPr>
      </w:pPr>
      <w:r>
        <w:rPr>
          <w:rFonts w:ascii="Arial" w:hAnsi="Arial" w:cs="Arial"/>
          <w:sz w:val="20"/>
          <w:szCs w:val="20"/>
        </w:rPr>
        <w:t xml:space="preserve">se </w:t>
      </w:r>
      <w:r w:rsidR="00AD2BC6" w:rsidRPr="00716217">
        <w:rPr>
          <w:rFonts w:ascii="Arial" w:hAnsi="Arial" w:cs="Arial"/>
          <w:sz w:val="20"/>
          <w:szCs w:val="20"/>
        </w:rPr>
        <w:t>podrobně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714683F" w:rsidR="000D350F" w:rsidRDefault="000D350F">
            <w:pPr>
              <w:pStyle w:val="Zpat"/>
              <w:jc w:val="center"/>
              <w:rPr>
                <w:rFonts w:ascii="Times New Roman" w:hAnsi="Times New Roman" w:cs="Times New Roman"/>
                <w:sz w:val="20"/>
                <w:szCs w:val="20"/>
              </w:rPr>
            </w:pP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255428"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97E2312" w:rsidR="000D350F" w:rsidRDefault="00E15AA5" w:rsidP="000D350F">
    <w:pPr>
      <w:pStyle w:val="Zhlav"/>
      <w:tabs>
        <w:tab w:val="clear" w:pos="9072"/>
        <w:tab w:val="left" w:pos="840"/>
        <w:tab w:val="right" w:pos="9071"/>
      </w:tabs>
      <w:jc w:val="center"/>
      <w:rPr>
        <w:rFonts w:ascii="Calibri" w:hAnsi="Calibri" w:cs="Calibri"/>
        <w:color w:val="242424"/>
        <w:shd w:val="clear" w:color="auto" w:fill="FFFFFF"/>
      </w:rPr>
    </w:pPr>
    <w:r w:rsidRPr="00E563F3">
      <w:rPr>
        <w:noProof/>
        <w:lang w:eastAsia="cs-CZ"/>
      </w:rPr>
      <w:drawing>
        <wp:anchor distT="0" distB="0" distL="114300" distR="114300" simplePos="0" relativeHeight="251666432" behindDoc="0" locked="0" layoutInCell="1" allowOverlap="1" wp14:anchorId="4E2965A1" wp14:editId="582B95CA">
          <wp:simplePos x="0" y="0"/>
          <wp:positionH relativeFrom="margin">
            <wp:posOffset>-663</wp:posOffset>
          </wp:positionH>
          <wp:positionV relativeFrom="paragraph">
            <wp:posOffset>111649</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6CF3F1C6" w14:textId="69F4A581"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69D69A00">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69D69A00">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8D9E48B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B080AF0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F0A2307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1AC845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B0705B3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D6981B2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817ABB2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80BE9346">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D320133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D320133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934EB5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9D40FBE">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5BFC6BA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206077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6B2262F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3514AEE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7A2E68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E52175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0F5C0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55428"/>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D7BB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6137F"/>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3D0"/>
    <w:rsid w:val="00E03CC6"/>
    <w:rsid w:val="00E10505"/>
    <w:rsid w:val="00E15AA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921</Words>
  <Characters>5437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51</cp:revision>
  <cp:lastPrinted>2019-12-16T07:51:00Z</cp:lastPrinted>
  <dcterms:created xsi:type="dcterms:W3CDTF">2024-09-10T09:46:00Z</dcterms:created>
  <dcterms:modified xsi:type="dcterms:W3CDTF">2025-10-30T09:19:00Z</dcterms:modified>
</cp:coreProperties>
</file>