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04D47E80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971298" w:rsidRPr="00971298">
              <w:rPr>
                <w:b/>
                <w:sz w:val="28"/>
                <w:szCs w:val="28"/>
              </w:rPr>
              <w:t xml:space="preserve">Set pro statickou a </w:t>
            </w:r>
            <w:proofErr w:type="spellStart"/>
            <w:r w:rsidR="00971298" w:rsidRPr="00971298">
              <w:rPr>
                <w:b/>
                <w:sz w:val="28"/>
                <w:szCs w:val="28"/>
              </w:rPr>
              <w:t>vibroakustickou</w:t>
            </w:r>
            <w:proofErr w:type="spellEnd"/>
            <w:r w:rsidR="00971298" w:rsidRPr="00971298">
              <w:rPr>
                <w:b/>
                <w:sz w:val="28"/>
                <w:szCs w:val="28"/>
              </w:rPr>
              <w:t xml:space="preserve"> analýzu dřevěných konstrukcí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5DCF1409">
              <w:rPr>
                <w:rFonts w:eastAsia="Arial" w:cs="Arial"/>
              </w:rPr>
              <w:t>Operační program Jan Amos Komenský</w:t>
            </w:r>
            <w:r>
              <w:rPr>
                <w:rFonts w:cs="Arial"/>
                <w:szCs w:val="22"/>
              </w:rPr>
              <w:t xml:space="preserve">: </w:t>
            </w:r>
            <w:r w:rsidRPr="006F4E1F">
              <w:rPr>
                <w:rFonts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cs="Arial"/>
                <w:szCs w:val="22"/>
              </w:rPr>
              <w:t xml:space="preserve">, </w:t>
            </w:r>
            <w:r w:rsidRPr="006F4E1F">
              <w:rPr>
                <w:rFonts w:cs="Arial"/>
                <w:szCs w:val="22"/>
              </w:rPr>
              <w:t>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F63AF0" w:rsidR="0011279F" w:rsidRDefault="005437E1" w:rsidP="005437E1">
    <w:pPr>
      <w:pStyle w:val="Zpat"/>
      <w:tabs>
        <w:tab w:val="left" w:pos="345"/>
      </w:tabs>
    </w:pPr>
    <w:r w:rsidRPr="00E85594"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7E6E4910" wp14:editId="065D350E">
          <wp:simplePos x="0" y="0"/>
          <wp:positionH relativeFrom="column">
            <wp:posOffset>4905375</wp:posOffset>
          </wp:positionH>
          <wp:positionV relativeFrom="paragraph">
            <wp:posOffset>-104775</wp:posOffset>
          </wp:positionV>
          <wp:extent cx="5667375" cy="581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34E2AC5F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5B170E16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05E5F" wp14:editId="27AC6AD8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6ED90E6E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76BD"/>
    <w:rsid w:val="004E3660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752054"/>
    <w:rsid w:val="0076317D"/>
    <w:rsid w:val="007C178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7690C"/>
    <w:rsid w:val="00AB56F9"/>
    <w:rsid w:val="00AD2A21"/>
    <w:rsid w:val="00AD6458"/>
    <w:rsid w:val="00AF02F6"/>
    <w:rsid w:val="00B44E99"/>
    <w:rsid w:val="00B8711A"/>
    <w:rsid w:val="00C14902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65</cp:revision>
  <cp:lastPrinted>2018-03-26T14:25:00Z</cp:lastPrinted>
  <dcterms:created xsi:type="dcterms:W3CDTF">2018-03-26T14:24:00Z</dcterms:created>
  <dcterms:modified xsi:type="dcterms:W3CDTF">2025-04-17T05:19:00Z</dcterms:modified>
</cp:coreProperties>
</file>