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21A62332" w:rsidR="002667F4" w:rsidRPr="00D93165" w:rsidRDefault="00A621CE" w:rsidP="00597C95">
            <w:pPr>
              <w:spacing w:before="40" w:after="40"/>
              <w:rPr>
                <w:rFonts w:ascii="Arial" w:hAnsi="Arial" w:cs="Arial"/>
                <w:b/>
                <w:bCs/>
                <w:color w:val="000000"/>
                <w:sz w:val="20"/>
                <w:szCs w:val="20"/>
              </w:rPr>
            </w:pPr>
            <w:r w:rsidRPr="00A621CE">
              <w:rPr>
                <w:rFonts w:ascii="Arial" w:hAnsi="Arial" w:cs="Arial"/>
                <w:b/>
                <w:bCs/>
                <w:color w:val="000000"/>
                <w:sz w:val="20"/>
                <w:szCs w:val="20"/>
              </w:rPr>
              <w:t>S</w:t>
            </w:r>
            <w:r w:rsidR="00561BCD">
              <w:rPr>
                <w:rFonts w:ascii="Arial" w:hAnsi="Arial" w:cs="Arial"/>
                <w:b/>
                <w:bCs/>
                <w:color w:val="000000"/>
                <w:sz w:val="20"/>
                <w:szCs w:val="20"/>
              </w:rPr>
              <w:t>ada pro telemetrický monitoring drobných zemních savců</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4C57FC73" w:rsidR="002667F4" w:rsidRPr="00976D31" w:rsidRDefault="008F7664" w:rsidP="00597C95">
            <w:pPr>
              <w:spacing w:before="40" w:after="40"/>
              <w:rPr>
                <w:rFonts w:ascii="Arial" w:hAnsi="Arial" w:cs="Arial"/>
                <w:b/>
                <w:sz w:val="20"/>
                <w:szCs w:val="20"/>
              </w:rPr>
            </w:pPr>
            <w:r w:rsidRPr="008F7664">
              <w:rPr>
                <w:rFonts w:ascii="Arial" w:hAnsi="Arial" w:cs="Arial"/>
                <w:sz w:val="20"/>
                <w:szCs w:val="20"/>
              </w:rPr>
              <w:t xml:space="preserve">Zjednodušené podlimitní řízení podle </w:t>
            </w:r>
            <w:proofErr w:type="spellStart"/>
            <w:r w:rsidRPr="008F7664">
              <w:rPr>
                <w:rFonts w:ascii="Arial" w:hAnsi="Arial" w:cs="Arial"/>
                <w:sz w:val="20"/>
                <w:szCs w:val="20"/>
              </w:rPr>
              <w:t>ust</w:t>
            </w:r>
            <w:proofErr w:type="spellEnd"/>
            <w:r w:rsidRPr="008F7664">
              <w:rPr>
                <w:rFonts w:ascii="Arial" w:hAnsi="Arial" w:cs="Arial"/>
                <w:sz w:val="20"/>
                <w:szCs w:val="20"/>
              </w:rPr>
              <w:t xml:space="preserve">. § 53 a násl. </w:t>
            </w:r>
            <w:r w:rsidRPr="00E3123D">
              <w:rPr>
                <w:rFonts w:ascii="Arial" w:hAnsi="Arial" w:cs="Arial"/>
                <w:sz w:val="20"/>
                <w:szCs w:val="20"/>
              </w:rPr>
              <w:t>zákona č. 134/2016 Sb., o zadávání veřejných zakázek, ve znění pozdějších předpisů</w:t>
            </w:r>
            <w:r w:rsidR="002667F4" w:rsidRPr="008F7664">
              <w:rPr>
                <w:rFonts w:ascii="Arial" w:hAnsi="Arial" w:cs="Arial"/>
                <w:sz w:val="20"/>
                <w:szCs w:val="20"/>
              </w:rPr>
              <w:t xml:space="preserve"> (dále jen </w:t>
            </w:r>
            <w:r w:rsidR="002667F4" w:rsidRPr="008F7664">
              <w:rPr>
                <w:rFonts w:ascii="Arial" w:hAnsi="Arial" w:cs="Arial"/>
                <w:i/>
                <w:iCs/>
                <w:sz w:val="20"/>
                <w:szCs w:val="20"/>
              </w:rPr>
              <w:t>„ZZVZ</w:t>
            </w:r>
            <w:r w:rsidR="002667F4" w:rsidRPr="008F7664">
              <w:rPr>
                <w:rFonts w:ascii="Arial" w:hAnsi="Arial" w:cs="Arial"/>
                <w:sz w:val="20"/>
                <w:szCs w:val="20"/>
              </w:rPr>
              <w:t>“)</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77777777"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výběrového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2A51B2EE" w14:textId="5F8758B8" w:rsidR="00565262" w:rsidRDefault="002667F4" w:rsidP="00A621CE">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565262" w:rsidRPr="00A621CE">
        <w:rPr>
          <w:rFonts w:ascii="Arial" w:eastAsia="Cambria" w:hAnsi="Arial" w:cs="Arial"/>
          <w:b/>
          <w:bCs/>
          <w:color w:val="000000"/>
          <w:sz w:val="20"/>
          <w:szCs w:val="20"/>
          <w:u w:color="000000"/>
          <w:bdr w:val="nil"/>
        </w:rPr>
        <w:t>.</w:t>
      </w:r>
    </w:p>
    <w:p w14:paraId="6663644E" w14:textId="77777777" w:rsidR="00A621CE" w:rsidRPr="00A621CE" w:rsidRDefault="00A621CE" w:rsidP="00A621CE">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1D2D8A2D" w14:textId="77777777" w:rsidR="008F7664" w:rsidRDefault="008F7664" w:rsidP="008F7664">
      <w:pPr>
        <w:rPr>
          <w:rFonts w:ascii="Arial" w:hAnsi="Arial" w:cs="Arial"/>
          <w:sz w:val="20"/>
          <w:szCs w:val="20"/>
        </w:rPr>
      </w:pPr>
      <w:r w:rsidRPr="008F7664">
        <w:rPr>
          <w:rFonts w:ascii="Arial" w:hAnsi="Arial" w:cs="Arial"/>
          <w:sz w:val="20"/>
          <w:szCs w:val="20"/>
        </w:rPr>
        <w:t xml:space="preserve">Dodavatel čestně prohlašuje, že je způsobilý v rozsahu podle § 74 ZZVZ, </w:t>
      </w:r>
      <w:r>
        <w:rPr>
          <w:rFonts w:ascii="Arial" w:hAnsi="Arial" w:cs="Arial"/>
          <w:sz w:val="20"/>
          <w:szCs w:val="20"/>
        </w:rPr>
        <w:t>tj. že je dodavatelem, který:</w:t>
      </w:r>
    </w:p>
    <w:p w14:paraId="771AA5F5" w14:textId="77777777" w:rsidR="008F7664" w:rsidRDefault="008F7664" w:rsidP="008F7664">
      <w:pPr>
        <w:numPr>
          <w:ilvl w:val="0"/>
          <w:numId w:val="44"/>
        </w:numPr>
        <w:spacing w:before="120" w:after="120" w:line="276" w:lineRule="auto"/>
        <w:ind w:left="709" w:hanging="357"/>
        <w:jc w:val="both"/>
        <w:rPr>
          <w:rFonts w:ascii="Arial" w:hAnsi="Arial" w:cs="Arial"/>
          <w:sz w:val="20"/>
          <w:szCs w:val="20"/>
        </w:rPr>
      </w:pPr>
      <w:r>
        <w:rPr>
          <w:rFonts w:ascii="Arial" w:hAnsi="Arial" w:cs="Arial"/>
          <w:sz w:val="20"/>
          <w:szCs w:val="20"/>
        </w:rPr>
        <w:t>nebyl v posledních 5 letech před zahájením zadávacího řízení pravomocně odsouzen pro trestný čin uvedený v příloze č. 3 k ZZVZ nebo obdobný trestný čin podle právního řadu země sídla dodavatele; k zahlazeným odsouzením se nepřihlíží; 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545D8F08" w14:textId="77777777" w:rsidR="008F7664" w:rsidRDefault="008F7664" w:rsidP="008F7664">
      <w:pPr>
        <w:numPr>
          <w:ilvl w:val="0"/>
          <w:numId w:val="44"/>
        </w:numPr>
        <w:spacing w:before="120" w:after="120" w:line="276" w:lineRule="auto"/>
        <w:ind w:left="709" w:hanging="357"/>
        <w:jc w:val="both"/>
        <w:rPr>
          <w:rFonts w:ascii="Arial" w:hAnsi="Arial" w:cs="Arial"/>
          <w:sz w:val="20"/>
          <w:szCs w:val="20"/>
        </w:rPr>
      </w:pPr>
      <w:r>
        <w:rPr>
          <w:rFonts w:ascii="Arial" w:hAnsi="Arial" w:cs="Arial"/>
          <w:sz w:val="20"/>
          <w:szCs w:val="20"/>
        </w:rPr>
        <w:t>nemá v České republice nebo v zemi svého sídla v evidenci daní zachycen splatný daňový nedoplatek – a to ani ve vztahu ke spotřební dani;</w:t>
      </w:r>
    </w:p>
    <w:p w14:paraId="2444F675" w14:textId="77777777" w:rsidR="008F7664" w:rsidRDefault="008F7664" w:rsidP="008F7664">
      <w:pPr>
        <w:numPr>
          <w:ilvl w:val="0"/>
          <w:numId w:val="44"/>
        </w:numPr>
        <w:spacing w:before="120" w:after="120" w:line="276" w:lineRule="auto"/>
        <w:ind w:left="709" w:hanging="357"/>
        <w:jc w:val="both"/>
        <w:rPr>
          <w:rFonts w:ascii="Arial" w:hAnsi="Arial" w:cs="Arial"/>
          <w:sz w:val="20"/>
          <w:szCs w:val="20"/>
        </w:rPr>
      </w:pPr>
      <w:r>
        <w:rPr>
          <w:rFonts w:ascii="Arial" w:hAnsi="Arial" w:cs="Arial"/>
          <w:sz w:val="20"/>
          <w:szCs w:val="20"/>
        </w:rPr>
        <w:t>nemá v České republice nebo v zemi svého sídla splatný nedoplatek na pojistném nebo na penále na veřejné zdravotní pojištění;</w:t>
      </w:r>
    </w:p>
    <w:p w14:paraId="04AFA419" w14:textId="77777777" w:rsidR="008F7664" w:rsidRDefault="008F7664" w:rsidP="008F7664">
      <w:pPr>
        <w:numPr>
          <w:ilvl w:val="0"/>
          <w:numId w:val="44"/>
        </w:numPr>
        <w:spacing w:before="120" w:after="120" w:line="276" w:lineRule="auto"/>
        <w:ind w:left="709" w:hanging="357"/>
        <w:jc w:val="both"/>
        <w:rPr>
          <w:rFonts w:ascii="Arial" w:hAnsi="Arial" w:cs="Arial"/>
          <w:sz w:val="20"/>
          <w:szCs w:val="20"/>
        </w:rPr>
      </w:pPr>
      <w:r>
        <w:rPr>
          <w:rFonts w:ascii="Arial" w:hAnsi="Arial" w:cs="Arial"/>
          <w:sz w:val="20"/>
          <w:szCs w:val="20"/>
        </w:rPr>
        <w:lastRenderedPageBreak/>
        <w:t>nemá v České republice nebo v zemi svého sídla splatný nedoplatek na pojistném nebo na penále na sociální zabezpečení a příspěvku na státní politiku zaměstnanosti;</w:t>
      </w:r>
    </w:p>
    <w:p w14:paraId="25ED1697" w14:textId="71E1C70A" w:rsidR="002667F4" w:rsidRDefault="008F7664" w:rsidP="002667F4">
      <w:pPr>
        <w:pStyle w:val="Odstavecseseznamem"/>
        <w:keepNext/>
        <w:numPr>
          <w:ilvl w:val="0"/>
          <w:numId w:val="44"/>
        </w:numPr>
        <w:spacing w:before="120" w:after="120" w:line="240" w:lineRule="auto"/>
        <w:ind w:left="709" w:hanging="283"/>
        <w:jc w:val="both"/>
        <w:outlineLvl w:val="1"/>
        <w:rPr>
          <w:rFonts w:ascii="Arial" w:hAnsi="Arial" w:cs="Arial"/>
          <w:sz w:val="20"/>
          <w:szCs w:val="20"/>
        </w:rPr>
      </w:pPr>
      <w:r>
        <w:rPr>
          <w:rFonts w:ascii="Arial" w:hAnsi="Arial" w:cs="Arial"/>
          <w:sz w:val="20"/>
          <w:szCs w:val="20"/>
        </w:rPr>
        <w:t>není v likvidaci, nebylo proti němu vydáno rozhodnutí o úpadku, nebyla vůči němu nařízena nucená správa podle jiného právního předpisu nebo není v obdobné situaci podle právního řádu země sídla dodavatele.</w:t>
      </w:r>
    </w:p>
    <w:p w14:paraId="7D9DB999" w14:textId="29359811" w:rsidR="008F7664" w:rsidRDefault="008F7664" w:rsidP="008F7664">
      <w:pPr>
        <w:pStyle w:val="Odstavecseseznamem"/>
        <w:keepNext/>
        <w:spacing w:before="120" w:after="120" w:line="240" w:lineRule="auto"/>
        <w:ind w:left="709"/>
        <w:jc w:val="both"/>
        <w:outlineLvl w:val="1"/>
        <w:rPr>
          <w:rFonts w:ascii="Arial" w:hAnsi="Arial" w:cs="Arial"/>
          <w:sz w:val="20"/>
          <w:szCs w:val="20"/>
        </w:rPr>
      </w:pPr>
    </w:p>
    <w:p w14:paraId="2C799C28" w14:textId="2C4A61CC"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r>
        <w:rPr>
          <w:rFonts w:ascii="Arial" w:hAnsi="Arial" w:cs="Arial"/>
          <w:sz w:val="20"/>
          <w:szCs w:val="20"/>
        </w:rPr>
        <w:t>Dodavatel</w:t>
      </w:r>
      <w:r w:rsidRPr="007744AF">
        <w:rPr>
          <w:rFonts w:ascii="Arial" w:hAnsi="Arial" w:cs="Arial"/>
          <w:sz w:val="20"/>
          <w:szCs w:val="20"/>
        </w:rPr>
        <w:t>, který je právnickou osobou, rovněž prohlašuje, že podmínku podle písm. a) splňuje:</w:t>
      </w:r>
    </w:p>
    <w:p w14:paraId="5068680C" w14:textId="7B5ABE41"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r w:rsidRPr="007744AF">
        <w:rPr>
          <w:rFonts w:ascii="Arial" w:hAnsi="Arial" w:cs="Arial"/>
          <w:sz w:val="20"/>
          <w:szCs w:val="20"/>
        </w:rPr>
        <w:t>a)</w:t>
      </w:r>
      <w:r>
        <w:rPr>
          <w:rFonts w:ascii="Arial" w:hAnsi="Arial" w:cs="Arial"/>
          <w:sz w:val="20"/>
          <w:szCs w:val="20"/>
        </w:rPr>
        <w:t xml:space="preserve"> </w:t>
      </w:r>
      <w:r w:rsidRPr="007744AF">
        <w:rPr>
          <w:rFonts w:ascii="Arial" w:hAnsi="Arial" w:cs="Arial"/>
          <w:sz w:val="20"/>
          <w:szCs w:val="20"/>
        </w:rPr>
        <w:t>tato právnická osoba a zároveň</w:t>
      </w:r>
    </w:p>
    <w:p w14:paraId="506C7311" w14:textId="38D5E631" w:rsidR="007744AF" w:rsidRDefault="007744AF" w:rsidP="007744AF">
      <w:pPr>
        <w:pStyle w:val="Odstavecseseznamem"/>
        <w:keepNext/>
        <w:spacing w:before="120" w:after="120" w:line="240" w:lineRule="auto"/>
        <w:ind w:left="709"/>
        <w:jc w:val="both"/>
        <w:outlineLvl w:val="1"/>
        <w:rPr>
          <w:rFonts w:ascii="Arial" w:hAnsi="Arial" w:cs="Arial"/>
          <w:sz w:val="20"/>
          <w:szCs w:val="20"/>
        </w:rPr>
      </w:pPr>
      <w:r w:rsidRPr="007744AF">
        <w:rPr>
          <w:rFonts w:ascii="Arial" w:hAnsi="Arial" w:cs="Arial"/>
          <w:sz w:val="20"/>
          <w:szCs w:val="20"/>
        </w:rPr>
        <w:t>b)</w:t>
      </w:r>
      <w:r>
        <w:rPr>
          <w:rFonts w:ascii="Arial" w:hAnsi="Arial" w:cs="Arial"/>
          <w:sz w:val="20"/>
          <w:szCs w:val="20"/>
        </w:rPr>
        <w:t xml:space="preserve"> </w:t>
      </w:r>
      <w:r w:rsidRPr="007744AF">
        <w:rPr>
          <w:rFonts w:ascii="Arial" w:hAnsi="Arial" w:cs="Arial"/>
          <w:sz w:val="20"/>
          <w:szCs w:val="20"/>
        </w:rPr>
        <w:t>každý člen statutárního orgánu této právnické osoby.</w:t>
      </w:r>
    </w:p>
    <w:p w14:paraId="00ECBBBF" w14:textId="77777777"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p>
    <w:p w14:paraId="6B8743CA" w14:textId="6A164199"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proofErr w:type="gramStart"/>
      <w:r w:rsidRPr="007744AF">
        <w:rPr>
          <w:rFonts w:ascii="Arial" w:hAnsi="Arial" w:cs="Arial"/>
          <w:sz w:val="20"/>
          <w:szCs w:val="20"/>
        </w:rPr>
        <w:t xml:space="preserve">Je </w:t>
      </w:r>
      <w:proofErr w:type="spellStart"/>
      <w:r w:rsidRPr="007744AF">
        <w:rPr>
          <w:rFonts w:ascii="Arial" w:hAnsi="Arial" w:cs="Arial"/>
          <w:sz w:val="20"/>
          <w:szCs w:val="20"/>
        </w:rPr>
        <w:t>li</w:t>
      </w:r>
      <w:proofErr w:type="spellEnd"/>
      <w:proofErr w:type="gramEnd"/>
      <w:r w:rsidRPr="007744AF">
        <w:rPr>
          <w:rFonts w:ascii="Arial" w:hAnsi="Arial" w:cs="Arial"/>
          <w:sz w:val="20"/>
          <w:szCs w:val="20"/>
        </w:rPr>
        <w:t xml:space="preserve"> členem statutárního orgánu </w:t>
      </w:r>
      <w:r>
        <w:rPr>
          <w:rFonts w:ascii="Arial" w:hAnsi="Arial" w:cs="Arial"/>
          <w:sz w:val="20"/>
          <w:szCs w:val="20"/>
        </w:rPr>
        <w:t>dodavatele</w:t>
      </w:r>
      <w:r w:rsidRPr="007744AF">
        <w:rPr>
          <w:rFonts w:ascii="Arial" w:hAnsi="Arial" w:cs="Arial"/>
          <w:sz w:val="20"/>
          <w:szCs w:val="20"/>
        </w:rPr>
        <w:t xml:space="preserve"> právnická osoba, </w:t>
      </w:r>
      <w:r>
        <w:rPr>
          <w:rFonts w:ascii="Arial" w:hAnsi="Arial" w:cs="Arial"/>
          <w:sz w:val="20"/>
          <w:szCs w:val="20"/>
        </w:rPr>
        <w:t xml:space="preserve">dodavatel </w:t>
      </w:r>
      <w:r w:rsidRPr="007744AF">
        <w:rPr>
          <w:rFonts w:ascii="Arial" w:hAnsi="Arial" w:cs="Arial"/>
          <w:sz w:val="20"/>
          <w:szCs w:val="20"/>
        </w:rPr>
        <w:t>rovněž prohlašuje, že podmínku podle písm. a) splňuje:</w:t>
      </w:r>
    </w:p>
    <w:p w14:paraId="3F409CCF" w14:textId="005E466D"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r w:rsidRPr="007744AF">
        <w:rPr>
          <w:rFonts w:ascii="Arial" w:hAnsi="Arial" w:cs="Arial"/>
          <w:sz w:val="20"/>
          <w:szCs w:val="20"/>
        </w:rPr>
        <w:t>a)</w:t>
      </w:r>
      <w:r>
        <w:rPr>
          <w:rFonts w:ascii="Arial" w:hAnsi="Arial" w:cs="Arial"/>
          <w:sz w:val="20"/>
          <w:szCs w:val="20"/>
        </w:rPr>
        <w:t xml:space="preserve"> </w:t>
      </w:r>
      <w:r w:rsidRPr="007744AF">
        <w:rPr>
          <w:rFonts w:ascii="Arial" w:hAnsi="Arial" w:cs="Arial"/>
          <w:sz w:val="20"/>
          <w:szCs w:val="20"/>
        </w:rPr>
        <w:t>tato právnická osoba,</w:t>
      </w:r>
    </w:p>
    <w:p w14:paraId="2CCC97ED" w14:textId="616B6829"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r w:rsidRPr="007744AF">
        <w:rPr>
          <w:rFonts w:ascii="Arial" w:hAnsi="Arial" w:cs="Arial"/>
          <w:sz w:val="20"/>
          <w:szCs w:val="20"/>
        </w:rPr>
        <w:t>b)</w:t>
      </w:r>
      <w:r>
        <w:rPr>
          <w:rFonts w:ascii="Arial" w:hAnsi="Arial" w:cs="Arial"/>
          <w:sz w:val="20"/>
          <w:szCs w:val="20"/>
        </w:rPr>
        <w:t xml:space="preserve"> </w:t>
      </w:r>
      <w:r w:rsidRPr="007744AF">
        <w:rPr>
          <w:rFonts w:ascii="Arial" w:hAnsi="Arial" w:cs="Arial"/>
          <w:sz w:val="20"/>
          <w:szCs w:val="20"/>
        </w:rPr>
        <w:t>každý člen statutárního orgánu této právnické osoby a</w:t>
      </w:r>
    </w:p>
    <w:p w14:paraId="3FED3A10" w14:textId="1620FF4C" w:rsidR="007744AF" w:rsidRDefault="007744AF" w:rsidP="007744AF">
      <w:pPr>
        <w:pStyle w:val="Odstavecseseznamem"/>
        <w:keepNext/>
        <w:spacing w:before="120" w:after="120" w:line="240" w:lineRule="auto"/>
        <w:ind w:left="709"/>
        <w:jc w:val="both"/>
        <w:outlineLvl w:val="1"/>
        <w:rPr>
          <w:rFonts w:ascii="Arial" w:hAnsi="Arial" w:cs="Arial"/>
          <w:sz w:val="20"/>
          <w:szCs w:val="20"/>
        </w:rPr>
      </w:pPr>
      <w:r w:rsidRPr="007744AF">
        <w:rPr>
          <w:rFonts w:ascii="Arial" w:hAnsi="Arial" w:cs="Arial"/>
          <w:sz w:val="20"/>
          <w:szCs w:val="20"/>
        </w:rPr>
        <w:t>c)</w:t>
      </w:r>
      <w:r>
        <w:rPr>
          <w:rFonts w:ascii="Arial" w:hAnsi="Arial" w:cs="Arial"/>
          <w:sz w:val="20"/>
          <w:szCs w:val="20"/>
        </w:rPr>
        <w:t xml:space="preserve"> </w:t>
      </w:r>
      <w:r w:rsidRPr="007744AF">
        <w:rPr>
          <w:rFonts w:ascii="Arial" w:hAnsi="Arial" w:cs="Arial"/>
          <w:sz w:val="20"/>
          <w:szCs w:val="20"/>
        </w:rPr>
        <w:t xml:space="preserve">osoba zastupující tuto právnickou osobu v statutárním orgánu </w:t>
      </w:r>
      <w:r>
        <w:rPr>
          <w:rFonts w:ascii="Arial" w:hAnsi="Arial" w:cs="Arial"/>
          <w:sz w:val="20"/>
          <w:szCs w:val="20"/>
        </w:rPr>
        <w:t>dodavatele</w:t>
      </w:r>
      <w:r w:rsidRPr="007744AF">
        <w:rPr>
          <w:rFonts w:ascii="Arial" w:hAnsi="Arial" w:cs="Arial"/>
          <w:sz w:val="20"/>
          <w:szCs w:val="20"/>
        </w:rPr>
        <w:t>.</w:t>
      </w:r>
    </w:p>
    <w:p w14:paraId="0AEEB4EB" w14:textId="77777777" w:rsidR="007744AF" w:rsidRPr="007744AF" w:rsidRDefault="007744AF" w:rsidP="007744AF">
      <w:pPr>
        <w:pStyle w:val="Odstavecseseznamem"/>
        <w:keepNext/>
        <w:spacing w:before="120" w:after="120" w:line="240" w:lineRule="auto"/>
        <w:ind w:left="709"/>
        <w:jc w:val="both"/>
        <w:outlineLvl w:val="1"/>
        <w:rPr>
          <w:rFonts w:ascii="Arial" w:hAnsi="Arial" w:cs="Arial"/>
          <w:sz w:val="20"/>
          <w:szCs w:val="20"/>
        </w:rPr>
      </w:pPr>
    </w:p>
    <w:p w14:paraId="081799D3" w14:textId="2B0005B7" w:rsidR="007744AF" w:rsidRDefault="007744AF" w:rsidP="007744AF">
      <w:pPr>
        <w:pStyle w:val="Odstavecseseznamem"/>
        <w:keepNext/>
        <w:spacing w:before="120" w:after="120" w:line="240" w:lineRule="auto"/>
        <w:ind w:left="709"/>
        <w:jc w:val="both"/>
        <w:outlineLvl w:val="1"/>
        <w:rPr>
          <w:rFonts w:ascii="Arial" w:hAnsi="Arial" w:cs="Arial"/>
          <w:sz w:val="20"/>
          <w:szCs w:val="20"/>
        </w:rPr>
      </w:pPr>
      <w:r>
        <w:rPr>
          <w:rFonts w:ascii="Arial" w:hAnsi="Arial" w:cs="Arial"/>
          <w:sz w:val="20"/>
          <w:szCs w:val="20"/>
        </w:rPr>
        <w:t>Dodavatel</w:t>
      </w:r>
      <w:r w:rsidRPr="007744AF">
        <w:rPr>
          <w:rFonts w:ascii="Arial" w:hAnsi="Arial" w:cs="Arial"/>
          <w:sz w:val="20"/>
          <w:szCs w:val="20"/>
        </w:rPr>
        <w:t>, který je pobočkou závodu zahraniční právnické osoby, rovněž prohlašuje, že podmínku podle písm. a) splňuje tato právnická osoba a vedoucí pobočky závodu.</w:t>
      </w:r>
    </w:p>
    <w:p w14:paraId="592DE46E" w14:textId="77777777" w:rsidR="00D93165" w:rsidRPr="00660579" w:rsidRDefault="00D93165" w:rsidP="00660579">
      <w:pPr>
        <w:keepNext/>
        <w:spacing w:before="120" w:after="120" w:line="240" w:lineRule="auto"/>
        <w:jc w:val="both"/>
        <w:outlineLvl w:val="1"/>
        <w:rPr>
          <w:rFonts w:ascii="Arial" w:hAnsi="Arial" w:cs="Arial"/>
          <w:sz w:val="20"/>
          <w:szCs w:val="20"/>
        </w:rPr>
      </w:pPr>
      <w:r w:rsidRPr="00660579">
        <w:rPr>
          <w:rFonts w:ascii="Arial" w:hAnsi="Arial" w:cs="Arial"/>
          <w:sz w:val="20"/>
          <w:szCs w:val="20"/>
        </w:rPr>
        <w:t>Dodavatel je v případě výzvy zadavatele schopný prokázat základní způsobilost příslušnými doklady.</w:t>
      </w:r>
    </w:p>
    <w:p w14:paraId="6AC66C19" w14:textId="77777777" w:rsidR="00D93165" w:rsidRPr="008F7664" w:rsidRDefault="00D93165" w:rsidP="008F7664">
      <w:pPr>
        <w:pStyle w:val="Odstavecseseznamem"/>
        <w:keepNext/>
        <w:spacing w:before="120" w:after="120" w:line="240" w:lineRule="auto"/>
        <w:ind w:left="709"/>
        <w:jc w:val="both"/>
        <w:outlineLvl w:val="1"/>
        <w:rPr>
          <w:rFonts w:ascii="Arial" w:hAnsi="Arial" w:cs="Arial"/>
          <w:sz w:val="20"/>
          <w:szCs w:val="20"/>
        </w:rPr>
      </w:pP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2C6E9D32"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w:t>
      </w:r>
      <w:r w:rsidR="00646EBF">
        <w:rPr>
          <w:rFonts w:ascii="Arial" w:hAnsi="Arial" w:cs="Arial"/>
          <w:bCs/>
          <w:iCs/>
          <w:sz w:val="20"/>
          <w:szCs w:val="20"/>
        </w:rPr>
        <w:t>t prokázat předložením Výpisu z </w:t>
      </w:r>
      <w:r w:rsidRPr="008F7664">
        <w:rPr>
          <w:rFonts w:ascii="Arial" w:hAnsi="Arial" w:cs="Arial"/>
          <w:bCs/>
          <w:iCs/>
          <w:sz w:val="20"/>
          <w:szCs w:val="20"/>
        </w:rPr>
        <w:t>obchodního rejstříku nebo jiné obdobné evidence, pokud jiný právní předpis zápis do takové evidence vyžaduje</w:t>
      </w:r>
      <w:bookmarkEnd w:id="4"/>
      <w:r w:rsidRPr="008F7664">
        <w:rPr>
          <w:rFonts w:ascii="Arial" w:hAnsi="Arial" w:cs="Arial"/>
          <w:bCs/>
          <w:iCs/>
          <w:sz w:val="20"/>
          <w:szCs w:val="20"/>
        </w:rPr>
        <w:t>.</w:t>
      </w:r>
    </w:p>
    <w:p w14:paraId="62A2AD84" w14:textId="6123DCF5" w:rsidR="004E12B7" w:rsidRDefault="008F7664" w:rsidP="00D54EAB">
      <w:pPr>
        <w:keepNext/>
        <w:spacing w:before="120" w:after="120"/>
        <w:jc w:val="both"/>
        <w:rPr>
          <w:rFonts w:ascii="Arial" w:hAnsi="Arial" w:cs="Arial"/>
          <w:bCs/>
          <w:iCs/>
          <w:sz w:val="20"/>
          <w:szCs w:val="20"/>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p>
    <w:p w14:paraId="58AA0439" w14:textId="77777777" w:rsidR="002B4009" w:rsidRDefault="002B4009"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2B4009">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w:t>
      </w:r>
      <w:r w:rsidRPr="00E3123D">
        <w:rPr>
          <w:rFonts w:ascii="Arial" w:hAnsi="Arial" w:cs="Arial"/>
          <w:sz w:val="20"/>
          <w:szCs w:val="20"/>
        </w:rPr>
        <w:lastRenderedPageBreak/>
        <w:t>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16B5D4D4" w:rsidR="000D350F" w:rsidRDefault="000D350F">
            <w:pPr>
              <w:pStyle w:val="Zpat"/>
              <w:jc w:val="center"/>
              <w:rPr>
                <w:rFonts w:ascii="Times New Roman" w:hAnsi="Times New Roman" w:cs="Times New Roman"/>
                <w:sz w:val="20"/>
                <w:szCs w:val="20"/>
              </w:rPr>
            </w:pPr>
            <w:r w:rsidRPr="00E85594">
              <w:rPr>
                <w:noProof/>
                <w:lang w:eastAsia="cs-CZ"/>
              </w:rPr>
              <w:drawing>
                <wp:anchor distT="0" distB="0" distL="114300" distR="114300" simplePos="0" relativeHeight="251663360" behindDoc="0" locked="0" layoutInCell="1" allowOverlap="1" wp14:anchorId="026FC76C" wp14:editId="5D7AB7B6">
                  <wp:simplePos x="0" y="0"/>
                  <wp:positionH relativeFrom="column">
                    <wp:posOffset>4752975</wp:posOffset>
                  </wp:positionH>
                  <wp:positionV relativeFrom="paragraph">
                    <wp:posOffset>12700</wp:posOffset>
                  </wp:positionV>
                  <wp:extent cx="5667375" cy="58102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581025"/>
                          </a:xfrm>
                          <a:prstGeom prst="rect">
                            <a:avLst/>
                          </a:prstGeom>
                          <a:noFill/>
                          <a:ln>
                            <a:noFill/>
                          </a:ln>
                        </pic:spPr>
                      </pic:pic>
                    </a:graphicData>
                  </a:graphic>
                </wp:anchor>
              </w:drawing>
            </w:r>
            <w:r>
              <w:rPr>
                <w:noProof/>
                <w:lang w:eastAsia="cs-CZ"/>
              </w:rPr>
              <w:drawing>
                <wp:anchor distT="0" distB="0" distL="114300" distR="114300" simplePos="0" relativeHeight="251661312" behindDoc="0" locked="0" layoutInCell="1" allowOverlap="1" wp14:anchorId="537799DA" wp14:editId="1E5F96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561BCD"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0FC353">
          <wp:simplePos x="0" y="0"/>
          <wp:positionH relativeFrom="page">
            <wp:posOffset>6138545</wp:posOffset>
          </wp:positionH>
          <wp:positionV relativeFrom="paragraph">
            <wp:posOffset>125095</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53FFA5F3" w14:textId="4378D105"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Rozvoj výzkumně orientovaných studijních programů Mendelovy univerzity v Brně    </w:t>
    </w:r>
  </w:p>
  <w:p w14:paraId="118E46F4" w14:textId="77777777" w:rsidR="000D350F" w:rsidRP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0D350F">
      <w:rPr>
        <w:rFonts w:ascii="Calibri" w:hAnsi="Calibri" w:cs="Calibri"/>
        <w:color w:val="242424"/>
        <w:shd w:val="clear" w:color="auto" w:fill="FFFFFF"/>
      </w:rPr>
      <w:t xml:space="preserve">(MENDELU PhD </w:t>
    </w:r>
    <w:proofErr w:type="spellStart"/>
    <w:r w:rsidRPr="000D350F">
      <w:rPr>
        <w:rFonts w:ascii="Calibri" w:hAnsi="Calibri" w:cs="Calibri"/>
        <w:color w:val="242424"/>
        <w:shd w:val="clear" w:color="auto" w:fill="FFFFFF"/>
      </w:rPr>
      <w:t>Infra</w:t>
    </w:r>
    <w:proofErr w:type="spellEnd"/>
    <w:r w:rsidRPr="000D350F">
      <w:rPr>
        <w:rFonts w:ascii="Calibri" w:hAnsi="Calibri" w:cs="Calibri"/>
        <w:color w:val="242424"/>
        <w:shd w:val="clear" w:color="auto" w:fill="FFFFFF"/>
      </w:rPr>
      <w:t xml:space="preserve">), </w:t>
    </w:r>
    <w:proofErr w:type="spellStart"/>
    <w:r w:rsidRPr="000D350F">
      <w:rPr>
        <w:rFonts w:ascii="Calibri" w:hAnsi="Calibri" w:cs="Calibri"/>
        <w:color w:val="242424"/>
        <w:shd w:val="clear" w:color="auto" w:fill="FFFFFF"/>
      </w:rPr>
      <w:t>reg</w:t>
    </w:r>
    <w:proofErr w:type="spellEnd"/>
    <w:r w:rsidRPr="000D350F">
      <w:rPr>
        <w:rFonts w:ascii="Calibri" w:hAnsi="Calibri" w:cs="Calibri"/>
        <w:color w:val="242424"/>
        <w:shd w:val="clear" w:color="auto" w:fill="FFFFFF"/>
      </w:rPr>
      <w:t>. č. projektu: CZ.02.01.01/00/22_012/0004847</w:t>
    </w:r>
  </w:p>
  <w:p w14:paraId="19C85E1F" w14:textId="09120947"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B6010D4"/>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30"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1" w15:restartNumberingAfterBreak="0">
    <w:nsid w:val="75905C07"/>
    <w:multiLevelType w:val="hybridMultilevel"/>
    <w:tmpl w:val="94AAE7C4"/>
    <w:numStyleLink w:val="Importovanstyl7"/>
  </w:abstractNum>
  <w:abstractNum w:abstractNumId="32" w15:restartNumberingAfterBreak="0">
    <w:nsid w:val="76AA1900"/>
    <w:multiLevelType w:val="hybridMultilevel"/>
    <w:tmpl w:val="5326688C"/>
    <w:numStyleLink w:val="Importovanstyl8"/>
  </w:abstractNum>
  <w:abstractNum w:abstractNumId="33" w15:restartNumberingAfterBreak="0">
    <w:nsid w:val="797E1B81"/>
    <w:multiLevelType w:val="hybridMultilevel"/>
    <w:tmpl w:val="F25AFD74"/>
    <w:numStyleLink w:val="Importovanstyl6"/>
  </w:abstractNum>
  <w:abstractNum w:abstractNumId="34"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3"/>
  </w:num>
  <w:num w:numId="5">
    <w:abstractNumId w:val="5"/>
  </w:num>
  <w:num w:numId="6">
    <w:abstractNumId w:val="31"/>
    <w:lvlOverride w:ilvl="0">
      <w:lvl w:ilvl="0" w:tplc="F6CE061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1"/>
    <w:lvlOverride w:ilvl="0">
      <w:lvl w:ilvl="0" w:tplc="F6CE061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0BAE857E">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B3F8D038">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77103D44">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4227E9A">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80CAEBA">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C80A9F4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97AADFE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23E21264">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2"/>
    <w:lvlOverride w:ilvl="0">
      <w:lvl w:ilvl="0" w:tplc="036ED9A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2"/>
    <w:lvlOverride w:ilvl="0">
      <w:lvl w:ilvl="0" w:tplc="036ED9A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539C1B8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A518364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1B0268B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B304444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DA699A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193A2EEE">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C5C26090">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CDFA648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4"/>
  </w:num>
  <w:num w:numId="21">
    <w:abstractNumId w:val="29"/>
  </w:num>
  <w:num w:numId="22">
    <w:abstractNumId w:val="17"/>
  </w:num>
  <w:num w:numId="23">
    <w:abstractNumId w:val="27"/>
  </w:num>
  <w:num w:numId="24">
    <w:abstractNumId w:val="24"/>
  </w:num>
  <w:num w:numId="25">
    <w:abstractNumId w:val="26"/>
  </w:num>
  <w:num w:numId="26">
    <w:abstractNumId w:val="16"/>
  </w:num>
  <w:num w:numId="27">
    <w:abstractNumId w:val="30"/>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num>
  <w:num w:numId="39">
    <w:abstractNumId w:val="32"/>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 w:numId="45">
    <w:abstractNumId w:val="0"/>
  </w:num>
  <w:num w:numId="46">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4009"/>
    <w:rsid w:val="002B78F6"/>
    <w:rsid w:val="002D346A"/>
    <w:rsid w:val="002E73D8"/>
    <w:rsid w:val="00322195"/>
    <w:rsid w:val="00333C42"/>
    <w:rsid w:val="003346E3"/>
    <w:rsid w:val="003364F8"/>
    <w:rsid w:val="00344FC9"/>
    <w:rsid w:val="00346E3F"/>
    <w:rsid w:val="003656F4"/>
    <w:rsid w:val="00366C3E"/>
    <w:rsid w:val="003941DF"/>
    <w:rsid w:val="003A5DAD"/>
    <w:rsid w:val="003B46AB"/>
    <w:rsid w:val="003B47E0"/>
    <w:rsid w:val="003C0A00"/>
    <w:rsid w:val="003C1326"/>
    <w:rsid w:val="003E0C9A"/>
    <w:rsid w:val="003F2B49"/>
    <w:rsid w:val="00416F13"/>
    <w:rsid w:val="004740CD"/>
    <w:rsid w:val="00476E16"/>
    <w:rsid w:val="00485524"/>
    <w:rsid w:val="00486B94"/>
    <w:rsid w:val="004A5572"/>
    <w:rsid w:val="004A7326"/>
    <w:rsid w:val="004B57AE"/>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61BCD"/>
    <w:rsid w:val="00565262"/>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46EBF"/>
    <w:rsid w:val="006513E6"/>
    <w:rsid w:val="00660579"/>
    <w:rsid w:val="00672A97"/>
    <w:rsid w:val="00680DA9"/>
    <w:rsid w:val="00692E46"/>
    <w:rsid w:val="006946B9"/>
    <w:rsid w:val="006A1B21"/>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93E00"/>
    <w:rsid w:val="008C564A"/>
    <w:rsid w:val="008F7664"/>
    <w:rsid w:val="008F7B89"/>
    <w:rsid w:val="00903923"/>
    <w:rsid w:val="00906BC8"/>
    <w:rsid w:val="009267C9"/>
    <w:rsid w:val="0094190D"/>
    <w:rsid w:val="00965781"/>
    <w:rsid w:val="00991E67"/>
    <w:rsid w:val="009C5A19"/>
    <w:rsid w:val="009D27BF"/>
    <w:rsid w:val="009D6BE2"/>
    <w:rsid w:val="009F6091"/>
    <w:rsid w:val="00A0332A"/>
    <w:rsid w:val="00A07511"/>
    <w:rsid w:val="00A14E8E"/>
    <w:rsid w:val="00A17E03"/>
    <w:rsid w:val="00A221FE"/>
    <w:rsid w:val="00A30312"/>
    <w:rsid w:val="00A362C9"/>
    <w:rsid w:val="00A50237"/>
    <w:rsid w:val="00A621CE"/>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67AFD"/>
    <w:rsid w:val="00BF3629"/>
    <w:rsid w:val="00C06300"/>
    <w:rsid w:val="00C234C3"/>
    <w:rsid w:val="00C30FD6"/>
    <w:rsid w:val="00C35D47"/>
    <w:rsid w:val="00C4678E"/>
    <w:rsid w:val="00C638D0"/>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54EAB"/>
    <w:rsid w:val="00D84F99"/>
    <w:rsid w:val="00D850C0"/>
    <w:rsid w:val="00D90049"/>
    <w:rsid w:val="00D93165"/>
    <w:rsid w:val="00D9359D"/>
    <w:rsid w:val="00D9541E"/>
    <w:rsid w:val="00DA337C"/>
    <w:rsid w:val="00DE6A2B"/>
    <w:rsid w:val="00E03CC6"/>
    <w:rsid w:val="00E91DA9"/>
    <w:rsid w:val="00EC4224"/>
    <w:rsid w:val="00EE1354"/>
    <w:rsid w:val="00EF1674"/>
    <w:rsid w:val="00EF6952"/>
    <w:rsid w:val="00F016D5"/>
    <w:rsid w:val="00F05FAF"/>
    <w:rsid w:val="00F13C04"/>
    <w:rsid w:val="00F244A2"/>
    <w:rsid w:val="00F2777E"/>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212D4-94A0-4A61-8C74-B2DF4FCC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783</Words>
  <Characters>4622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13</cp:revision>
  <cp:lastPrinted>2019-12-16T07:51:00Z</cp:lastPrinted>
  <dcterms:created xsi:type="dcterms:W3CDTF">2024-09-18T13:17:00Z</dcterms:created>
  <dcterms:modified xsi:type="dcterms:W3CDTF">2025-03-25T12:43:00Z</dcterms:modified>
</cp:coreProperties>
</file>