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0CCEA67A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5949B8" w:rsidRPr="00905765">
        <w:rPr>
          <w:rFonts w:ascii="Arial" w:hAnsi="Arial" w:cs="Arial"/>
          <w:sz w:val="28"/>
          <w:szCs w:val="28"/>
          <w:shd w:val="clear" w:color="auto" w:fill="F5FDA9"/>
        </w:rPr>
        <w:t>526</w:t>
      </w:r>
      <w:r w:rsidR="00905765" w:rsidRPr="00905765">
        <w:rPr>
          <w:rFonts w:ascii="Arial" w:hAnsi="Arial" w:cs="Arial"/>
          <w:sz w:val="28"/>
          <w:szCs w:val="28"/>
          <w:shd w:val="clear" w:color="auto" w:fill="F5FDA9"/>
        </w:rPr>
        <w:t>200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3BE5CFC8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62344D">
        <w:rPr>
          <w:rFonts w:ascii="Arial" w:hAnsi="Arial" w:cs="Arial"/>
          <w:b/>
          <w:bCs/>
          <w:sz w:val="20"/>
          <w:szCs w:val="20"/>
        </w:rPr>
        <w:t>3</w:t>
      </w:r>
      <w:r w:rsidR="00905765">
        <w:rPr>
          <w:rFonts w:ascii="Arial" w:hAnsi="Arial" w:cs="Arial"/>
          <w:b/>
          <w:bCs/>
          <w:sz w:val="20"/>
          <w:szCs w:val="20"/>
        </w:rPr>
        <w:t>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62344D">
        <w:rPr>
          <w:rFonts w:ascii="Arial" w:hAnsi="Arial" w:cs="Arial"/>
          <w:b/>
          <w:sz w:val="20"/>
          <w:szCs w:val="20"/>
        </w:rPr>
        <w:t>0</w:t>
      </w:r>
      <w:r w:rsidR="00905765">
        <w:rPr>
          <w:rFonts w:ascii="Arial" w:hAnsi="Arial" w:cs="Arial"/>
          <w:b/>
          <w:sz w:val="20"/>
          <w:szCs w:val="20"/>
        </w:rPr>
        <w:t>6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62344D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D1B45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949B8"/>
    <w:rsid w:val="005A4F3A"/>
    <w:rsid w:val="005B4984"/>
    <w:rsid w:val="005C3801"/>
    <w:rsid w:val="005C5298"/>
    <w:rsid w:val="00611E48"/>
    <w:rsid w:val="0062344D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84741"/>
    <w:rsid w:val="008B295A"/>
    <w:rsid w:val="008D1085"/>
    <w:rsid w:val="008F22CA"/>
    <w:rsid w:val="009027C1"/>
    <w:rsid w:val="00905765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56</cp:revision>
  <dcterms:created xsi:type="dcterms:W3CDTF">2023-05-16T11:28:00Z</dcterms:created>
  <dcterms:modified xsi:type="dcterms:W3CDTF">2025-12-12T08:23:00Z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