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604BE300"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1D11FA" w:rsidRPr="001D11FA">
              <w:rPr>
                <w:rFonts w:ascii="Calibri" w:hAnsi="Calibri" w:cs="Calibri"/>
                <w:sz w:val="32"/>
                <w:szCs w:val="32"/>
                <w:lang w:val="cs-CZ"/>
              </w:rPr>
              <w:t>Přístrojové vybavení mobilní laboratoře</w:t>
            </w:r>
            <w:r w:rsidR="0086157A">
              <w:rPr>
                <w:rFonts w:ascii="Calibri" w:hAnsi="Calibri" w:cs="Calibri"/>
                <w:sz w:val="32"/>
                <w:szCs w:val="32"/>
                <w:lang w:val="cs-CZ"/>
              </w:rPr>
              <w:t>, opakované řízení</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19F6F985"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1D11FA">
        <w:rPr>
          <w:rFonts w:ascii="Arial" w:hAnsi="Arial" w:cs="Arial"/>
          <w:b/>
          <w:bCs/>
          <w:color w:val="000000" w:themeColor="text1"/>
          <w:szCs w:val="22"/>
        </w:rPr>
        <w:t>„</w:t>
      </w:r>
      <w:r w:rsidR="001D11FA" w:rsidRPr="001D11FA">
        <w:rPr>
          <w:rFonts w:ascii="Arial" w:hAnsi="Arial" w:cs="Arial"/>
          <w:b/>
          <w:bCs/>
          <w:color w:val="000000" w:themeColor="text1"/>
          <w:szCs w:val="22"/>
        </w:rPr>
        <w:t>Přístrojové vybavení mobilní laboratoře</w:t>
      </w:r>
      <w:r w:rsidR="0086157A">
        <w:rPr>
          <w:rFonts w:ascii="Arial" w:hAnsi="Arial" w:cs="Arial"/>
          <w:b/>
          <w:bCs/>
          <w:color w:val="000000" w:themeColor="text1"/>
          <w:szCs w:val="22"/>
        </w:rPr>
        <w:t>, opakované řízení</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421F9936" w:rsidR="00E00EEA" w:rsidRPr="004B019A" w:rsidRDefault="00D42A1C" w:rsidP="004B019A">
      <w:pPr>
        <w:numPr>
          <w:ilvl w:val="1"/>
          <w:numId w:val="3"/>
        </w:numPr>
        <w:spacing w:after="120"/>
        <w:ind w:left="567" w:hanging="567"/>
        <w:jc w:val="both"/>
        <w:rPr>
          <w:rFonts w:ascii="Arial" w:hAnsi="Arial" w:cs="Arial"/>
        </w:rPr>
      </w:pPr>
      <w:r w:rsidRPr="009D7A70">
        <w:rPr>
          <w:rFonts w:ascii="Arial" w:eastAsia="Arial" w:hAnsi="Arial" w:cs="Arial"/>
          <w:szCs w:val="22"/>
        </w:rPr>
        <w:t>Pře</w:t>
      </w:r>
      <w:r w:rsidRPr="00885BE3">
        <w:rPr>
          <w:rFonts w:ascii="Arial" w:eastAsia="Arial" w:hAnsi="Arial" w:cs="Arial"/>
          <w:szCs w:val="22"/>
        </w:rPr>
        <w:t xml:space="preserve">dmětem </w:t>
      </w:r>
      <w:r w:rsidRPr="004B019A">
        <w:rPr>
          <w:rFonts w:ascii="Arial" w:hAnsi="Arial" w:cs="Arial"/>
        </w:rPr>
        <w:t xml:space="preserve">smlouvy je </w:t>
      </w:r>
      <w:r w:rsidR="00745227" w:rsidRPr="004B019A">
        <w:rPr>
          <w:rFonts w:ascii="Arial" w:hAnsi="Arial" w:cs="Arial"/>
        </w:rPr>
        <w:t>dodávka</w:t>
      </w:r>
      <w:r w:rsidR="003E7DC0" w:rsidRPr="004B019A">
        <w:rPr>
          <w:rFonts w:ascii="Arial" w:hAnsi="Arial" w:cs="Arial"/>
        </w:rPr>
        <w:t xml:space="preserve"> </w:t>
      </w:r>
      <w:r w:rsidR="004B019A" w:rsidRPr="004B019A">
        <w:rPr>
          <w:rFonts w:ascii="Arial" w:hAnsi="Arial" w:cs="Arial"/>
        </w:rPr>
        <w:t>přístrojového vybavení mobilní laboratoře</w:t>
      </w:r>
      <w:r w:rsidR="004132C2" w:rsidRPr="004B019A">
        <w:rPr>
          <w:rFonts w:ascii="Arial" w:hAnsi="Arial" w:cs="Arial"/>
        </w:rPr>
        <w:t>,</w:t>
      </w:r>
      <w:r w:rsidR="005A1AA7" w:rsidRPr="004B019A">
        <w:rPr>
          <w:rFonts w:ascii="Arial" w:hAnsi="Arial" w:cs="Arial"/>
        </w:rPr>
        <w:t xml:space="preserve"> </w:t>
      </w:r>
      <w:r w:rsidR="00E00EEA" w:rsidRPr="004B019A">
        <w:rPr>
          <w:rFonts w:ascii="Arial" w:hAnsi="Arial" w:cs="Arial"/>
        </w:rPr>
        <w:t>specifikovaná podrobně v příloze č. 1 – Technická specifikace, dále též jako „zařízení“ nebo „předmět koupě</w:t>
      </w:r>
      <w:r w:rsidR="00E00EEA" w:rsidRPr="004B019A">
        <w:rPr>
          <w:rFonts w:ascii="Arial" w:eastAsia="Arial" w:hAnsi="Arial" w:cs="Arial"/>
          <w:szCs w:val="22"/>
        </w:rPr>
        <w:t>“.</w:t>
      </w:r>
    </w:p>
    <w:p w14:paraId="4F65307E" w14:textId="5526FB5C" w:rsidR="004B019A" w:rsidRPr="004B019A" w:rsidRDefault="00E00EEA" w:rsidP="004B019A">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4B019A" w:rsidRPr="004B019A">
        <w:rPr>
          <w:rFonts w:ascii="Arial" w:eastAsia="Arial" w:hAnsi="Arial" w:cs="Arial"/>
          <w:szCs w:val="22"/>
        </w:rPr>
        <w:t xml:space="preserve">zajištění kvalitního zázemí pro praktickou výuku specializovaných předmětů v oblasti pedologie a </w:t>
      </w:r>
      <w:proofErr w:type="spellStart"/>
      <w:r w:rsidR="004B019A" w:rsidRPr="004B019A">
        <w:rPr>
          <w:rFonts w:ascii="Arial" w:eastAsia="Arial" w:hAnsi="Arial" w:cs="Arial"/>
          <w:szCs w:val="22"/>
        </w:rPr>
        <w:t>hydropedologie</w:t>
      </w:r>
      <w:proofErr w:type="spellEnd"/>
      <w:r w:rsidR="004B019A" w:rsidRPr="004B019A">
        <w:rPr>
          <w:rFonts w:ascii="Arial" w:eastAsia="Arial" w:hAnsi="Arial" w:cs="Arial"/>
          <w:szCs w:val="22"/>
        </w:rPr>
        <w:t>. Cílem je vytvořit moderní laboratoř umožňující studentům provádět terénní i laboratorní analýzy půdních vzorků, simulovat půdní procesy a osvojit si metodiky hodnocení půdních vlastností v kontextu ochrany půdy a vodního režimu krajiny.</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265993A7"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4B019A">
        <w:rPr>
          <w:rFonts w:ascii="Arial" w:hAnsi="Arial" w:cs="Arial"/>
        </w:rPr>
        <w:t>2</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4B019A">
        <w:rPr>
          <w:rFonts w:ascii="Arial" w:hAnsi="Arial" w:cs="Arial"/>
        </w:rPr>
        <w:t>2</w:t>
      </w:r>
      <w:r w:rsidR="005A1AA7">
        <w:rPr>
          <w:rFonts w:ascii="Arial" w:hAnsi="Arial" w:cs="Arial"/>
        </w:rPr>
        <w:t xml:space="preserve"> </w:t>
      </w:r>
      <w:r w:rsidR="00AA1A5D" w:rsidRPr="00555F4C">
        <w:rPr>
          <w:rFonts w:ascii="Arial" w:hAnsi="Arial" w:cs="Arial"/>
        </w:rPr>
        <w:t>osob</w:t>
      </w:r>
      <w:r w:rsidR="004B019A">
        <w:rPr>
          <w:rFonts w:ascii="Arial" w:hAnsi="Arial" w:cs="Arial"/>
        </w:rPr>
        <w:t>y</w:t>
      </w:r>
      <w:r w:rsidR="00AA1A5D" w:rsidRPr="00555F4C">
        <w:rPr>
          <w:rFonts w:ascii="Arial" w:hAnsi="Arial" w:cs="Arial"/>
        </w:rPr>
        <w:t xml:space="preserve">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35A0541B"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podobě v </w:t>
      </w:r>
      <w:r w:rsidR="005A1AA7">
        <w:rPr>
          <w:rFonts w:ascii="Arial" w:hAnsi="Arial" w:cs="Arial"/>
          <w:szCs w:val="22"/>
        </w:rPr>
        <w:t>českém</w:t>
      </w:r>
      <w:r w:rsidR="00F55F44">
        <w:rPr>
          <w:rFonts w:ascii="Arial" w:hAnsi="Arial" w:cs="Arial"/>
          <w:szCs w:val="22"/>
        </w:rPr>
        <w:t xml:space="preserve">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lastRenderedPageBreak/>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lastRenderedPageBreak/>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0B6D3799"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F07EC2">
        <w:rPr>
          <w:rFonts w:ascii="Arial" w:eastAsia="Calibri" w:hAnsi="Arial" w:cs="Arial"/>
          <w:b/>
        </w:rPr>
        <w:t>3</w:t>
      </w:r>
      <w:r w:rsidR="00885BE3">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307A57B8"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Agronomická fakulta, Ústav </w:t>
      </w:r>
      <w:r w:rsidR="004B019A">
        <w:rPr>
          <w:rFonts w:ascii="Arial" w:hAnsi="Arial" w:cs="Arial"/>
          <w:b/>
          <w:bCs/>
        </w:rPr>
        <w:t>agrochemie, půdoznalství, mikrobiologie a výživy rostlin (221)</w:t>
      </w:r>
      <w:r w:rsidR="00144F6D">
        <w:rPr>
          <w:rFonts w:ascii="Arial" w:hAnsi="Arial" w:cs="Arial"/>
          <w:b/>
          <w:bCs/>
        </w:rPr>
        <w:t>,</w:t>
      </w:r>
      <w:r w:rsidR="004717AD" w:rsidRPr="004717AD">
        <w:rPr>
          <w:rFonts w:ascii="Arial" w:hAnsi="Arial" w:cs="Arial"/>
          <w:b/>
          <w:bCs/>
        </w:rPr>
        <w:t xml:space="preserve"> Zemědělská 1665/1,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276966EF" w:rsidR="00DA303B" w:rsidRPr="009C73CB" w:rsidRDefault="004B019A" w:rsidP="00724C4E">
      <w:pPr>
        <w:pStyle w:val="Odstavecseseznamem"/>
        <w:numPr>
          <w:ilvl w:val="0"/>
          <w:numId w:val="9"/>
        </w:numPr>
        <w:spacing w:line="280" w:lineRule="exact"/>
        <w:ind w:left="567" w:hanging="567"/>
        <w:jc w:val="both"/>
        <w:rPr>
          <w:rFonts w:ascii="Arial" w:hAnsi="Arial" w:cs="Arial"/>
        </w:rPr>
      </w:pPr>
      <w:r>
        <w:rPr>
          <w:rFonts w:ascii="Arial" w:hAnsi="Arial" w:cs="Arial"/>
        </w:rPr>
        <w:t xml:space="preserve">Při předání zařízení předá </w:t>
      </w:r>
      <w:r w:rsidR="00DA303B" w:rsidRPr="000015DC">
        <w:rPr>
          <w:rFonts w:ascii="Arial" w:hAnsi="Arial" w:cs="Arial"/>
        </w:rPr>
        <w:t>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lastRenderedPageBreak/>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lastRenderedPageBreak/>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03AB32F"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F07EC2">
        <w:rPr>
          <w:rFonts w:ascii="Arial" w:hAnsi="Arial" w:cs="Arial"/>
          <w:b/>
          <w:highlight w:val="yellow"/>
        </w:rPr>
        <w:t xml:space="preserve">24 </w:t>
      </w:r>
      <w:r w:rsidR="00BD6C66">
        <w:rPr>
          <w:rFonts w:ascii="Arial" w:hAnsi="Arial" w:cs="Arial"/>
          <w:b/>
          <w:highlight w:val="yellow"/>
        </w:rPr>
        <w:t xml:space="preserve">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lastRenderedPageBreak/>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lastRenderedPageBreak/>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lastRenderedPageBreak/>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5A1CF92D" w14:textId="0384C881" w:rsidR="00324E30" w:rsidRDefault="00E06FCC" w:rsidP="004B019A">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371E2A93" w14:textId="77777777" w:rsidR="004B019A" w:rsidRPr="004B019A" w:rsidRDefault="004B019A" w:rsidP="004B019A">
      <w:pPr>
        <w:pStyle w:val="Odstavecseseznamem"/>
        <w:rPr>
          <w:rFonts w:ascii="Arial" w:hAnsi="Arial" w:cs="Arial"/>
        </w:rPr>
      </w:pPr>
    </w:p>
    <w:p w14:paraId="180C9E36" w14:textId="77777777" w:rsidR="004B019A" w:rsidRPr="004B019A" w:rsidRDefault="004B019A" w:rsidP="004B019A">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lastRenderedPageBreak/>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w:t>
      </w:r>
      <w:r w:rsidRPr="003862D4">
        <w:rPr>
          <w:rFonts w:ascii="Arial" w:hAnsi="Arial" w:cs="Arial"/>
        </w:rPr>
        <w:lastRenderedPageBreak/>
        <w:t xml:space="preserve">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t>V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58B95A9B"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1D11FA"/>
    <w:rsid w:val="001D7198"/>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1553B"/>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B019A"/>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5F04"/>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6157A"/>
    <w:rsid w:val="0088205F"/>
    <w:rsid w:val="00885BE3"/>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2D4"/>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07EC2"/>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4913</Words>
  <Characters>28989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19</cp:revision>
  <cp:lastPrinted>2022-02-28T08:30:00Z</cp:lastPrinted>
  <dcterms:created xsi:type="dcterms:W3CDTF">2025-04-09T14:56:00Z</dcterms:created>
  <dcterms:modified xsi:type="dcterms:W3CDTF">2025-09-11T07:47:00Z</dcterms:modified>
</cp:coreProperties>
</file>