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485C52BC"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8B2D5A" w:rsidRPr="008B2D5A">
              <w:rPr>
                <w:rFonts w:ascii="Calibri" w:hAnsi="Calibri" w:cs="Calibri"/>
                <w:sz w:val="32"/>
                <w:szCs w:val="32"/>
                <w:lang w:val="cs-CZ"/>
              </w:rPr>
              <w:t>Zařízení pro určení polohy</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oprávněni:   </w:t>
      </w:r>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0225F9B9"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Mgr. Ondřej Mocek, Ph.D., příkazce operace</w:t>
      </w:r>
    </w:p>
    <w:p w14:paraId="491DD676" w14:textId="7460B773"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 xml:space="preserve">Ing. Veronika Mlejnková, Ph.D., správce </w:t>
      </w:r>
      <w:r w:rsidR="00D219D0">
        <w:tab/>
      </w:r>
      <w:r w:rsidR="00D219D0">
        <w:tab/>
      </w:r>
      <w:r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5BEA0F80" w14:textId="5D136310" w:rsidR="0083333D" w:rsidRDefault="0083333D"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635C02F3"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743182FC"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3E7DC0" w:rsidRPr="003E7DC0">
        <w:rPr>
          <w:rFonts w:ascii="Arial" w:hAnsi="Arial" w:cs="Arial"/>
          <w:b/>
          <w:bCs/>
          <w:color w:val="000000" w:themeColor="text1"/>
          <w:szCs w:val="22"/>
        </w:rPr>
        <w:t>„</w:t>
      </w:r>
      <w:r w:rsidR="008B2D5A" w:rsidRPr="008B2D5A">
        <w:rPr>
          <w:rFonts w:ascii="Arial" w:hAnsi="Arial" w:cs="Arial"/>
          <w:b/>
          <w:bCs/>
          <w:color w:val="000000" w:themeColor="text1"/>
          <w:szCs w:val="22"/>
        </w:rPr>
        <w:t>Zařízení pro určení polohy</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 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w:t>
      </w:r>
      <w:r w:rsidRPr="003E7DC0">
        <w:rPr>
          <w:rFonts w:ascii="Arial" w:hAnsi="Arial" w:cs="Arial"/>
          <w:color w:val="000000" w:themeColor="text1"/>
          <w:szCs w:val="22"/>
        </w:rPr>
        <w:lastRenderedPageBreak/>
        <w:t>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35C89969"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Rozvoj výzkumně orientovaných studijních programů Mendelovy univerzity v Brně (MENDELU PhD </w:t>
      </w:r>
      <w:proofErr w:type="spellStart"/>
      <w:r w:rsidRPr="32487CFB">
        <w:rPr>
          <w:rFonts w:ascii="Arial" w:eastAsia="Arial" w:hAnsi="Arial" w:cs="Arial"/>
          <w:szCs w:val="22"/>
        </w:rPr>
        <w:t>Infra</w:t>
      </w:r>
      <w:proofErr w:type="spellEnd"/>
      <w:r w:rsidRPr="32487CFB">
        <w:rPr>
          <w:rFonts w:ascii="Arial" w:eastAsia="Arial" w:hAnsi="Arial" w:cs="Arial"/>
          <w:szCs w:val="22"/>
        </w:rPr>
        <w:t xml:space="preserve">), </w:t>
      </w:r>
      <w:proofErr w:type="spellStart"/>
      <w:r w:rsidRPr="32487CFB">
        <w:rPr>
          <w:rFonts w:ascii="Arial" w:eastAsia="Arial" w:hAnsi="Arial" w:cs="Arial"/>
          <w:szCs w:val="22"/>
        </w:rPr>
        <w:t>reg</w:t>
      </w:r>
      <w:proofErr w:type="spellEnd"/>
      <w:r w:rsidRPr="32487CFB">
        <w:rPr>
          <w:rFonts w:ascii="Arial" w:eastAsia="Arial" w:hAnsi="Arial" w:cs="Arial"/>
          <w:szCs w:val="22"/>
        </w:rPr>
        <w:t xml:space="preserve">. č. CZ.02.01.01/00/22_012/0004847 (dále jen </w:t>
      </w:r>
      <w:r w:rsidR="00A31363">
        <w:rPr>
          <w:rFonts w:ascii="Arial" w:eastAsia="Arial" w:hAnsi="Arial" w:cs="Arial"/>
          <w:szCs w:val="22"/>
        </w:rPr>
        <w:t>„</w:t>
      </w:r>
      <w:r w:rsidRPr="32487CFB">
        <w:rPr>
          <w:rFonts w:ascii="Arial" w:eastAsia="Arial" w:hAnsi="Arial" w:cs="Arial"/>
          <w:szCs w:val="22"/>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433F8FE6" w:rsidR="00E00EEA" w:rsidRPr="008B2D5A" w:rsidRDefault="00D42A1C" w:rsidP="008B2D5A">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 xml:space="preserve">Předmětem smlouvy je </w:t>
      </w:r>
      <w:r w:rsidR="00745227" w:rsidRPr="009D7A70">
        <w:rPr>
          <w:rFonts w:ascii="Arial" w:eastAsia="Arial" w:hAnsi="Arial" w:cs="Arial"/>
          <w:szCs w:val="22"/>
        </w:rPr>
        <w:t>dodávka</w:t>
      </w:r>
      <w:r w:rsidR="003E7DC0" w:rsidRPr="009D7A70">
        <w:rPr>
          <w:rFonts w:ascii="Arial" w:eastAsia="Arial" w:hAnsi="Arial" w:cs="Arial"/>
          <w:szCs w:val="22"/>
        </w:rPr>
        <w:t xml:space="preserve"> </w:t>
      </w:r>
      <w:r w:rsidR="008B2D5A" w:rsidRPr="008B2D5A">
        <w:rPr>
          <w:rFonts w:ascii="Arial" w:eastAsia="Arial" w:hAnsi="Arial" w:cs="Arial"/>
          <w:szCs w:val="22"/>
        </w:rPr>
        <w:t>technologie GNSS (</w:t>
      </w:r>
      <w:proofErr w:type="spellStart"/>
      <w:r w:rsidR="008B2D5A" w:rsidRPr="008B2D5A">
        <w:rPr>
          <w:rFonts w:ascii="Arial" w:eastAsia="Arial" w:hAnsi="Arial" w:cs="Arial"/>
          <w:szCs w:val="22"/>
        </w:rPr>
        <w:t>Global</w:t>
      </w:r>
      <w:proofErr w:type="spellEnd"/>
      <w:r w:rsidR="008B2D5A" w:rsidRPr="008B2D5A">
        <w:rPr>
          <w:rFonts w:ascii="Arial" w:eastAsia="Arial" w:hAnsi="Arial" w:cs="Arial"/>
          <w:szCs w:val="22"/>
        </w:rPr>
        <w:t xml:space="preserve"> </w:t>
      </w:r>
      <w:proofErr w:type="spellStart"/>
      <w:r w:rsidR="008B2D5A" w:rsidRPr="008B2D5A">
        <w:rPr>
          <w:rFonts w:ascii="Arial" w:eastAsia="Arial" w:hAnsi="Arial" w:cs="Arial"/>
          <w:szCs w:val="22"/>
        </w:rPr>
        <w:t>Navigation</w:t>
      </w:r>
      <w:proofErr w:type="spellEnd"/>
      <w:r w:rsidR="008B2D5A" w:rsidRPr="008B2D5A">
        <w:rPr>
          <w:rFonts w:ascii="Arial" w:eastAsia="Arial" w:hAnsi="Arial" w:cs="Arial"/>
          <w:szCs w:val="22"/>
        </w:rPr>
        <w:t xml:space="preserve"> </w:t>
      </w:r>
      <w:proofErr w:type="spellStart"/>
      <w:r w:rsidR="008B2D5A" w:rsidRPr="008B2D5A">
        <w:rPr>
          <w:rFonts w:ascii="Arial" w:eastAsia="Arial" w:hAnsi="Arial" w:cs="Arial"/>
          <w:szCs w:val="22"/>
        </w:rPr>
        <w:t>Satellite</w:t>
      </w:r>
      <w:proofErr w:type="spellEnd"/>
      <w:r w:rsidR="008B2D5A" w:rsidRPr="008B2D5A">
        <w:rPr>
          <w:rFonts w:ascii="Arial" w:eastAsia="Arial" w:hAnsi="Arial" w:cs="Arial"/>
          <w:szCs w:val="22"/>
        </w:rPr>
        <w:t xml:space="preserve"> Systems)</w:t>
      </w:r>
      <w:r w:rsidR="004132C2" w:rsidRPr="008B2D5A">
        <w:rPr>
          <w:rFonts w:ascii="Arial" w:hAnsi="Arial" w:cs="Arial"/>
        </w:rPr>
        <w:t>,</w:t>
      </w:r>
      <w:r w:rsidR="005A1AA7" w:rsidRPr="008B2D5A">
        <w:rPr>
          <w:rFonts w:ascii="Arial" w:hAnsi="Arial" w:cs="Arial"/>
        </w:rPr>
        <w:t xml:space="preserve"> </w:t>
      </w:r>
      <w:r w:rsidR="00E00EEA" w:rsidRPr="008B2D5A">
        <w:rPr>
          <w:rFonts w:ascii="Arial" w:hAnsi="Arial" w:cs="Arial"/>
        </w:rPr>
        <w:t>specifikovaná podrobně v příloze č. 1 – Technická specifikace, dále též jako „zařízení“ nebo „předmět koupě</w:t>
      </w:r>
      <w:r w:rsidR="00E00EEA" w:rsidRPr="008B2D5A">
        <w:rPr>
          <w:rFonts w:ascii="Arial" w:eastAsia="Arial" w:hAnsi="Arial" w:cs="Arial"/>
          <w:szCs w:val="22"/>
        </w:rPr>
        <w:t>“.</w:t>
      </w:r>
    </w:p>
    <w:p w14:paraId="68D2EAA2" w14:textId="5D58FA6E" w:rsidR="008B2D5A" w:rsidRDefault="00E00EEA" w:rsidP="008B2D5A">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 xml:space="preserve">e </w:t>
      </w:r>
      <w:bookmarkStart w:id="0" w:name="_Hlk181960242"/>
      <w:r w:rsidR="008B2D5A" w:rsidRPr="008B2D5A">
        <w:rPr>
          <w:rFonts w:ascii="Arial" w:eastAsia="Arial" w:hAnsi="Arial" w:cs="Arial"/>
          <w:szCs w:val="22"/>
        </w:rPr>
        <w:t xml:space="preserve">pomocí této inovativní technologie s velmi jednoduchým ovládáním zajistit sběr terénních dat, případně vytyčování a kontrolu bodů velmi rychle, plynule a spolehlivě. Tato zařízení budou využívat studenti doktorských studijních programů, případně i studenti pregraduálních programů v rámci zpracování disertačních, diplomových a bakalářských prací, ale i v dalších projektech v rámci vědecko-výzkumné činnosti jednotlivých ústavů napříč Lesnickou a dřevařskou fakultou. Jedná se především o studenty Ústavu hospodářské úpravy lesů a aplikované geoinformatiky, Ústavu ekologie lesa, Ústavu lesnické botaniky, dendrologie a </w:t>
      </w:r>
      <w:proofErr w:type="spellStart"/>
      <w:r w:rsidR="008B2D5A" w:rsidRPr="008B2D5A">
        <w:rPr>
          <w:rFonts w:ascii="Arial" w:eastAsia="Arial" w:hAnsi="Arial" w:cs="Arial"/>
          <w:szCs w:val="22"/>
        </w:rPr>
        <w:t>geobiocenologie</w:t>
      </w:r>
      <w:proofErr w:type="spellEnd"/>
      <w:r w:rsidR="008B2D5A" w:rsidRPr="008B2D5A">
        <w:rPr>
          <w:rFonts w:ascii="Arial" w:eastAsia="Arial" w:hAnsi="Arial" w:cs="Arial"/>
          <w:szCs w:val="22"/>
        </w:rPr>
        <w:t xml:space="preserve">, Ústavu inženýrských staveb, tvorby a ochrany krajiny, Ústavu ochrany lesů a myslivosti, Ústavu geologie a pedologie, ale i Ústavu nauky o dřevě a dřevařských technologií (program Stavby na bázi dřeva).   </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085AD51F" w14:textId="69BBE09F"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887F35">
        <w:rPr>
          <w:rFonts w:ascii="Arial" w:hAnsi="Arial" w:cs="Arial"/>
          <w:szCs w:val="22"/>
        </w:rPr>
        <w:t xml:space="preserve"> elektronické </w:t>
      </w:r>
      <w:r w:rsidR="008B2D5A">
        <w:rPr>
          <w:rFonts w:ascii="Arial" w:hAnsi="Arial" w:cs="Arial"/>
          <w:szCs w:val="22"/>
        </w:rPr>
        <w:t xml:space="preserve">nebo tištěné </w:t>
      </w:r>
      <w:r w:rsidR="00887F35">
        <w:rPr>
          <w:rFonts w:ascii="Arial" w:hAnsi="Arial" w:cs="Arial"/>
          <w:szCs w:val="22"/>
        </w:rPr>
        <w:t xml:space="preserve">podobě v </w:t>
      </w:r>
      <w:r w:rsidR="005A1AA7">
        <w:rPr>
          <w:rFonts w:ascii="Arial" w:hAnsi="Arial" w:cs="Arial"/>
          <w:szCs w:val="22"/>
        </w:rPr>
        <w:t>českém</w:t>
      </w:r>
      <w:r w:rsidR="00F55F44">
        <w:rPr>
          <w:rFonts w:ascii="Arial" w:hAnsi="Arial" w:cs="Arial"/>
          <w:szCs w:val="22"/>
        </w:rPr>
        <w:t xml:space="preserve">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6AB21F32"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 xml:space="preserve">mlouvy snažit minimalizovat dopad na životní prostředí, </w:t>
      </w:r>
      <w:r w:rsidR="0053348C">
        <w:rPr>
          <w:rFonts w:ascii="Arial" w:hAnsi="Arial" w:cs="Arial"/>
          <w:szCs w:val="22"/>
        </w:rPr>
        <w:t xml:space="preserve">třídit odpad, </w:t>
      </w:r>
      <w:r w:rsidRPr="00734981">
        <w:rPr>
          <w:rFonts w:ascii="Arial" w:hAnsi="Arial" w:cs="Arial"/>
          <w:szCs w:val="22"/>
        </w:rPr>
        <w:t xml:space="preserve">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w:t>
      </w:r>
      <w:r w:rsidRPr="00913852">
        <w:rPr>
          <w:rFonts w:ascii="Arial" w:hAnsi="Arial" w:cs="Arial"/>
        </w:rPr>
        <w:lastRenderedPageBreak/>
        <w:t>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3C260E0E"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nejpozději do</w:t>
      </w:r>
      <w:r w:rsidR="0053348C">
        <w:rPr>
          <w:rFonts w:ascii="Arial" w:eastAsia="Calibri" w:hAnsi="Arial" w:cs="Arial"/>
          <w:b/>
        </w:rPr>
        <w:t xml:space="preserve"> </w:t>
      </w:r>
      <w:r w:rsidR="00CC52CC">
        <w:rPr>
          <w:rFonts w:ascii="Arial" w:eastAsia="Calibri" w:hAnsi="Arial" w:cs="Arial"/>
          <w:b/>
        </w:rPr>
        <w:t>30 dnů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66CC249C" w:rsidR="009C73CB" w:rsidRDefault="009C73CB" w:rsidP="00555F4C">
      <w:pPr>
        <w:pStyle w:val="Odstavecseseznamem"/>
        <w:ind w:left="567"/>
        <w:jc w:val="both"/>
      </w:pPr>
    </w:p>
    <w:p w14:paraId="52E76D97" w14:textId="38261A89"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w:t>
      </w:r>
      <w:r w:rsidR="00320202">
        <w:rPr>
          <w:rFonts w:ascii="Arial" w:hAnsi="Arial" w:cs="Arial"/>
        </w:rPr>
        <w:t xml:space="preserve"> (např. </w:t>
      </w:r>
      <w:r w:rsidR="00320202" w:rsidRPr="00320202">
        <w:rPr>
          <w:rFonts w:ascii="Arial" w:hAnsi="Arial" w:cs="Arial"/>
        </w:rPr>
        <w:t>z důvodu omezení vstupu do objektu způsobeného nákazovou situací</w:t>
      </w:r>
      <w:r w:rsidR="00320202">
        <w:rPr>
          <w:rFonts w:ascii="Arial" w:hAnsi="Arial" w:cs="Arial"/>
        </w:rPr>
        <w:t>)</w:t>
      </w:r>
      <w:r w:rsidR="00846EF6">
        <w:rPr>
          <w:rFonts w:ascii="Arial" w:hAnsi="Arial" w:cs="Arial"/>
        </w:rPr>
        <w:t>;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69DAE316"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3017D3" w:rsidRPr="003017D3">
        <w:rPr>
          <w:rFonts w:ascii="Arial" w:hAnsi="Arial" w:cs="Arial"/>
          <w:b/>
          <w:bCs/>
        </w:rPr>
        <w:t>Mendelova univerzita v Brně, Lesnická a dřevařská fakulta, Strojový sál ústavu 429 (N1065),</w:t>
      </w:r>
      <w:r w:rsidR="003017D3">
        <w:rPr>
          <w:rFonts w:ascii="Arial" w:hAnsi="Arial" w:cs="Arial"/>
          <w:b/>
          <w:bCs/>
        </w:rPr>
        <w:t xml:space="preserve"> </w:t>
      </w:r>
      <w:r w:rsidR="003017D3" w:rsidRPr="003017D3">
        <w:rPr>
          <w:rFonts w:ascii="Arial" w:hAnsi="Arial" w:cs="Arial"/>
          <w:b/>
          <w:bCs/>
        </w:rPr>
        <w:t>Zemědělská 3, 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 xml:space="preserve">řešení předloží prodávající kupujícímu ke schválení v dostatečném předstihu. </w:t>
      </w:r>
      <w:r w:rsidRPr="00627959">
        <w:rPr>
          <w:rFonts w:ascii="Arial" w:hAnsi="Arial" w:cs="Arial"/>
        </w:rPr>
        <w:lastRenderedPageBreak/>
        <w:t>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2B237EBE" w:rsidR="00DA303B" w:rsidRPr="009C73CB" w:rsidRDefault="008B2D5A" w:rsidP="00724C4E">
      <w:pPr>
        <w:pStyle w:val="Odstavecseseznamem"/>
        <w:numPr>
          <w:ilvl w:val="0"/>
          <w:numId w:val="9"/>
        </w:numPr>
        <w:spacing w:line="280" w:lineRule="exact"/>
        <w:ind w:left="567" w:hanging="567"/>
        <w:jc w:val="both"/>
        <w:rPr>
          <w:rFonts w:ascii="Arial" w:hAnsi="Arial" w:cs="Arial"/>
        </w:rPr>
      </w:pPr>
      <w:r>
        <w:rPr>
          <w:rFonts w:ascii="Arial" w:hAnsi="Arial" w:cs="Arial"/>
        </w:rPr>
        <w:t>Při předání z</w:t>
      </w:r>
      <w:r w:rsidR="00DA303B" w:rsidRPr="001650A6">
        <w:rPr>
          <w:rFonts w:ascii="Arial" w:hAnsi="Arial" w:cs="Arial"/>
        </w:rPr>
        <w:t>ařízení</w:t>
      </w:r>
      <w:r>
        <w:rPr>
          <w:rFonts w:ascii="Arial" w:hAnsi="Arial" w:cs="Arial"/>
        </w:rPr>
        <w:t xml:space="preserve"> </w:t>
      </w:r>
      <w:r w:rsidR="00DA303B" w:rsidRPr="000015DC">
        <w:rPr>
          <w:rFonts w:ascii="Arial" w:hAnsi="Arial" w:cs="Arial"/>
        </w:rPr>
        <w:t>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6A7E297" w14:textId="77777777" w:rsidR="004132C2" w:rsidRPr="00591451" w:rsidRDefault="004132C2" w:rsidP="009B366F">
      <w:pPr>
        <w:pStyle w:val="Zkladntextodsazen2"/>
        <w:spacing w:after="120"/>
        <w:ind w:firstLine="0"/>
        <w:rPr>
          <w:rFonts w:ascii="Arial" w:hAnsi="Arial" w:cs="Arial"/>
        </w:rPr>
      </w:pPr>
    </w:p>
    <w:p w14:paraId="63D743B2" w14:textId="3B435E3D" w:rsidR="00774784" w:rsidRPr="000C073F" w:rsidRDefault="00774784" w:rsidP="00774784">
      <w:pPr>
        <w:pStyle w:val="Nadpis1"/>
      </w:pPr>
      <w:r w:rsidRPr="000C073F">
        <w:lastRenderedPageBreak/>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0BD37B47"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xml:space="preserve">, tj. „Rozvoj výzkumně orientovaných studijních programů Mendelovy univerzity v Brně (MENDELU PhD </w:t>
      </w:r>
      <w:proofErr w:type="spellStart"/>
      <w:r w:rsidR="3E4F1EA9" w:rsidRPr="0060382A">
        <w:rPr>
          <w:rFonts w:ascii="Arial" w:hAnsi="Arial" w:cs="Arial"/>
          <w:sz w:val="22"/>
          <w:szCs w:val="22"/>
        </w:rPr>
        <w:t>Infra</w:t>
      </w:r>
      <w:proofErr w:type="spellEnd"/>
      <w:r w:rsidR="3E4F1EA9" w:rsidRPr="0060382A">
        <w:rPr>
          <w:rFonts w:ascii="Arial" w:hAnsi="Arial" w:cs="Arial"/>
          <w:sz w:val="22"/>
          <w:szCs w:val="22"/>
        </w:rPr>
        <w:t xml:space="preserve">), </w:t>
      </w:r>
      <w:proofErr w:type="spellStart"/>
      <w:r w:rsidR="3E4F1EA9" w:rsidRPr="0060382A">
        <w:rPr>
          <w:rFonts w:ascii="Arial" w:hAnsi="Arial" w:cs="Arial"/>
          <w:sz w:val="22"/>
          <w:szCs w:val="22"/>
        </w:rPr>
        <w:t>reg</w:t>
      </w:r>
      <w:proofErr w:type="spellEnd"/>
      <w:r w:rsidR="3E4F1EA9" w:rsidRPr="0060382A">
        <w:rPr>
          <w:rFonts w:ascii="Arial" w:hAnsi="Arial" w:cs="Arial"/>
          <w:sz w:val="22"/>
          <w:szCs w:val="22"/>
        </w:rPr>
        <w:t>. č. CZ.02.01.01/00/22_012/0004847“</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0E97E096"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CC52CC">
        <w:rPr>
          <w:rFonts w:ascii="Arial" w:hAnsi="Arial" w:cs="Arial"/>
          <w:b/>
          <w:highlight w:val="yellow"/>
        </w:rPr>
        <w:t>24</w:t>
      </w:r>
      <w:r w:rsidR="00F07204" w:rsidRPr="006F162F">
        <w:rPr>
          <w:rFonts w:ascii="Arial" w:hAnsi="Arial" w:cs="Arial"/>
          <w:b/>
          <w:highlight w:val="yellow"/>
        </w:rPr>
        <w:t xml:space="preserve"> </w:t>
      </w:r>
      <w:r w:rsidRPr="006F162F">
        <w:rPr>
          <w:rFonts w:ascii="Arial" w:hAnsi="Arial" w:cs="Arial"/>
          <w:b/>
          <w:highlight w:val="yellow"/>
        </w:rPr>
        <w:t>měsíců</w:t>
      </w:r>
      <w:r w:rsidR="009B366F">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lastRenderedPageBreak/>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3332C2B0"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53348C">
        <w:rPr>
          <w:rFonts w:ascii="Arial" w:eastAsiaTheme="minorHAnsi" w:hAnsi="Arial" w:cs="Arial"/>
          <w:bCs/>
        </w:rPr>
        <w:t xml:space="preserve">a povinnosti minimalizovat dopad na životní prostředí podle </w:t>
      </w:r>
      <w:r w:rsidR="0053348C" w:rsidRPr="00555F4C">
        <w:rPr>
          <w:rFonts w:ascii="Arial" w:eastAsiaTheme="minorHAnsi" w:hAnsi="Arial" w:cs="Arial"/>
          <w:bCs/>
        </w:rPr>
        <w:t xml:space="preserve">čl. I. odst. 1.8 písm. </w:t>
      </w:r>
      <w:r w:rsidR="0053348C">
        <w:rPr>
          <w:rFonts w:ascii="Arial" w:eastAsiaTheme="minorHAnsi" w:hAnsi="Arial" w:cs="Arial"/>
          <w:bCs/>
        </w:rPr>
        <w:t>g</w:t>
      </w:r>
      <w:r w:rsidR="0053348C" w:rsidRPr="00555F4C">
        <w:rPr>
          <w:rFonts w:ascii="Arial" w:eastAsiaTheme="minorHAnsi" w:hAnsi="Arial" w:cs="Arial"/>
          <w:bCs/>
        </w:rPr>
        <w:t>)</w:t>
      </w:r>
      <w:r w:rsidR="0053348C">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 xml:space="preserve">Smluvní strany berou na vědomí, že jakékoli, byť jen částečné, neplnění povinností vyplývajících z této smlouvy, může ohrozit čerpání dotačních prostředků poskytnutých </w:t>
      </w:r>
      <w:r w:rsidRPr="000A48E8">
        <w:rPr>
          <w:rFonts w:ascii="Arial" w:hAnsi="Arial" w:cs="Arial"/>
        </w:rPr>
        <w:lastRenderedPageBreak/>
        <w:t>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762FF397" w:rsidR="00DA303B" w:rsidRDefault="00DA303B" w:rsidP="00913852">
      <w:pPr>
        <w:numPr>
          <w:ilvl w:val="0"/>
          <w:numId w:val="33"/>
        </w:numPr>
        <w:spacing w:after="120"/>
        <w:ind w:left="567" w:hanging="567"/>
        <w:jc w:val="both"/>
        <w:rPr>
          <w:rFonts w:ascii="Arial" w:hAnsi="Arial" w:cs="Arial"/>
          <w:szCs w:val="22"/>
        </w:rPr>
      </w:pPr>
      <w:r>
        <w:rPr>
          <w:rFonts w:ascii="Arial" w:hAnsi="Arial" w:cs="Arial"/>
          <w:szCs w:val="22"/>
        </w:rPr>
        <w:t xml:space="preserve">Pro případ, že dojde ke změně kteréhokoli z údajů uvedených v záhlaví smlouvy, je smluvní strana, u které </w:t>
      </w:r>
      <w:r w:rsidRPr="00B20A58">
        <w:rPr>
          <w:rFonts w:ascii="Arial" w:hAnsi="Arial" w:cs="Arial"/>
          <w:szCs w:val="22"/>
        </w:rPr>
        <w:t>daná změna nastala, povinna informovat o ní druhou smluvní stranu, a to průkazným způsobem (datovou zprávou, formou doporučeného dopisu nebo e-mailové zprávy)</w:t>
      </w:r>
      <w:r w:rsidR="00B20A58">
        <w:rPr>
          <w:rFonts w:ascii="Arial" w:hAnsi="Arial" w:cs="Arial"/>
          <w:szCs w:val="22"/>
        </w:rPr>
        <w:t>,</w:t>
      </w:r>
      <w:r>
        <w:rPr>
          <w:rFonts w:ascii="Arial" w:hAnsi="Arial" w:cs="Arial"/>
          <w:szCs w:val="22"/>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1846941F" w14:textId="77777777" w:rsidR="0053348C" w:rsidRPr="0053348C" w:rsidRDefault="0053348C" w:rsidP="0053348C">
      <w:pPr>
        <w:pStyle w:val="Odstavecseseznamem"/>
        <w:numPr>
          <w:ilvl w:val="0"/>
          <w:numId w:val="41"/>
        </w:numPr>
        <w:spacing w:after="120"/>
        <w:jc w:val="both"/>
        <w:rPr>
          <w:rFonts w:ascii="Arial" w:hAnsi="Arial" w:cs="Arial"/>
          <w:vanish/>
        </w:rPr>
      </w:pPr>
    </w:p>
    <w:p w14:paraId="1C05FB62" w14:textId="77777777" w:rsidR="0053348C" w:rsidRPr="0053348C" w:rsidRDefault="0053348C" w:rsidP="0053348C">
      <w:pPr>
        <w:pStyle w:val="Odstavecseseznamem"/>
        <w:numPr>
          <w:ilvl w:val="1"/>
          <w:numId w:val="41"/>
        </w:numPr>
        <w:spacing w:after="120"/>
        <w:jc w:val="both"/>
        <w:rPr>
          <w:rFonts w:ascii="Arial" w:hAnsi="Arial" w:cs="Arial"/>
          <w:vanish/>
        </w:rPr>
      </w:pPr>
    </w:p>
    <w:p w14:paraId="4FB7803A" w14:textId="7A8E5521" w:rsidR="0053348C" w:rsidRDefault="0053348C" w:rsidP="0053348C">
      <w:pPr>
        <w:pStyle w:val="Odstavecseseznamem"/>
        <w:numPr>
          <w:ilvl w:val="1"/>
          <w:numId w:val="41"/>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4164C6D4" w14:textId="77777777" w:rsidR="0053348C" w:rsidRPr="0053348C" w:rsidRDefault="0053348C" w:rsidP="0053348C">
      <w:pPr>
        <w:pStyle w:val="Odstavecseseznamem"/>
        <w:spacing w:after="120"/>
        <w:jc w:val="both"/>
        <w:rPr>
          <w:rFonts w:ascii="Arial" w:hAnsi="Arial" w:cs="Arial"/>
        </w:rPr>
      </w:pPr>
    </w:p>
    <w:p w14:paraId="4DBF0A62" w14:textId="77777777" w:rsidR="0053348C" w:rsidRPr="0015500D" w:rsidRDefault="0053348C" w:rsidP="0053348C">
      <w:pPr>
        <w:pStyle w:val="Odstavecseseznamem"/>
        <w:numPr>
          <w:ilvl w:val="1"/>
          <w:numId w:val="41"/>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34FE3F39" w14:textId="77777777" w:rsidR="0053348C" w:rsidRDefault="0053348C" w:rsidP="0053348C">
      <w:pPr>
        <w:pStyle w:val="Odstavecseseznamem"/>
        <w:numPr>
          <w:ilvl w:val="2"/>
          <w:numId w:val="42"/>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18CC3D95" w14:textId="77777777" w:rsidR="0053348C" w:rsidRPr="00324E30" w:rsidRDefault="0053348C" w:rsidP="0053348C">
      <w:pPr>
        <w:pStyle w:val="Odstavecseseznamem"/>
        <w:spacing w:after="120"/>
        <w:ind w:left="851"/>
        <w:jc w:val="both"/>
        <w:rPr>
          <w:rFonts w:ascii="Arial" w:hAnsi="Arial" w:cs="Arial"/>
        </w:rPr>
      </w:pPr>
    </w:p>
    <w:p w14:paraId="6E6348BB" w14:textId="77777777" w:rsidR="0053348C" w:rsidRDefault="0053348C" w:rsidP="0053348C">
      <w:pPr>
        <w:pStyle w:val="Odstavecseseznamem"/>
        <w:numPr>
          <w:ilvl w:val="2"/>
          <w:numId w:val="42"/>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71EA1256" w14:textId="77777777" w:rsidR="0053348C" w:rsidRPr="00324E30" w:rsidRDefault="0053348C" w:rsidP="0053348C">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w:t>
      </w:r>
      <w:r w:rsidRPr="003862D4">
        <w:rPr>
          <w:rFonts w:ascii="Arial" w:hAnsi="Arial" w:cs="Arial"/>
        </w:rPr>
        <w:lastRenderedPageBreak/>
        <w:t xml:space="preserve">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lastRenderedPageBreak/>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 xml:space="preserve">vobodné a určité vůle prosté omylu, není uzavřena v </w:t>
      </w:r>
      <w:r w:rsidRPr="32487CFB">
        <w:rPr>
          <w:rFonts w:ascii="Arial" w:hAnsi="Arial" w:cs="Arial"/>
        </w:rPr>
        <w:lastRenderedPageBreak/>
        <w:t>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B81295">
      <w:pPr>
        <w:tabs>
          <w:tab w:val="left" w:pos="4680"/>
        </w:tabs>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3452A5D2" w14:textId="135A419D" w:rsidR="0060382A" w:rsidRPr="0060382A" w:rsidRDefault="0060382A" w:rsidP="0060382A">
      <w:pPr>
        <w:tabs>
          <w:tab w:val="left" w:pos="4820"/>
        </w:tabs>
        <w:ind w:left="4820"/>
        <w:rPr>
          <w:rFonts w:ascii="Arial" w:hAnsi="Arial" w:cs="Arial"/>
          <w:szCs w:val="22"/>
        </w:rPr>
      </w:pPr>
      <w:bookmarkStart w:id="2" w:name="_Hlk157096688"/>
      <w:r w:rsidRPr="0060382A">
        <w:rPr>
          <w:rFonts w:ascii="Arial" w:hAnsi="Arial" w:cs="Arial"/>
          <w:szCs w:val="22"/>
        </w:rPr>
        <w:t>Mgr. Ondřej Mocek, Ph.D</w:t>
      </w:r>
      <w:bookmarkEnd w:id="2"/>
      <w:r w:rsidRPr="0060382A">
        <w:rPr>
          <w:rFonts w:ascii="Arial" w:hAnsi="Arial" w:cs="Arial"/>
          <w:szCs w:val="22"/>
        </w:rPr>
        <w:t>.</w:t>
      </w:r>
    </w:p>
    <w:p w14:paraId="61B037AA"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3" w:name="_Hlk157096740"/>
      <w:r w:rsidRPr="0060382A">
        <w:rPr>
          <w:rFonts w:ascii="Arial" w:hAnsi="Arial" w:cs="Arial"/>
          <w:szCs w:val="22"/>
        </w:rPr>
        <w:t>Ing. Veronika Mlejnková, Ph.D.</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3"/>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50BA" w14:textId="77777777" w:rsidR="00696EF0" w:rsidRDefault="00696EF0" w:rsidP="003649BB">
      <w:r>
        <w:separator/>
      </w:r>
    </w:p>
  </w:endnote>
  <w:endnote w:type="continuationSeparator" w:id="0">
    <w:p w14:paraId="26E40E5A" w14:textId="77777777" w:rsidR="00696EF0" w:rsidRDefault="00696EF0"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Courier New"/>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1D5F6ADD" w:rsidR="003E7DC0" w:rsidRDefault="003E7DC0" w:rsidP="003E7DC0">
        <w:pPr>
          <w:pStyle w:val="Zpat"/>
          <w:tabs>
            <w:tab w:val="clear" w:pos="9072"/>
            <w:tab w:val="left" w:pos="6750"/>
          </w:tabs>
        </w:pPr>
        <w:r w:rsidRPr="00E85594">
          <w:rPr>
            <w:noProof/>
          </w:rPr>
          <w:drawing>
            <wp:anchor distT="0" distB="0" distL="114300" distR="114300" simplePos="0" relativeHeight="251663360" behindDoc="0" locked="0" layoutInCell="1" allowOverlap="1" wp14:anchorId="4EC2AA49" wp14:editId="7FACC667">
              <wp:simplePos x="0" y="0"/>
              <wp:positionH relativeFrom="column">
                <wp:posOffset>4895850</wp:posOffset>
              </wp:positionH>
              <wp:positionV relativeFrom="paragraph">
                <wp:posOffset>8890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874EDE5" wp14:editId="51D1946B">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A14C" w14:textId="77777777" w:rsidR="00696EF0" w:rsidRDefault="00696EF0" w:rsidP="003649BB">
      <w:r>
        <w:separator/>
      </w:r>
    </w:p>
  </w:footnote>
  <w:footnote w:type="continuationSeparator" w:id="0">
    <w:p w14:paraId="55C60F69" w14:textId="77777777" w:rsidR="00696EF0" w:rsidRDefault="00696EF0"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D93B" w14:textId="718554D7"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r w:rsidRPr="00EF5365">
      <w:rPr>
        <w:rFonts w:ascii="Calibri" w:hAnsi="Calibri" w:cs="Calibri"/>
        <w:color w:val="242424"/>
        <w:shd w:val="clear" w:color="auto" w:fill="FFFFFF"/>
      </w:rPr>
      <w:t xml:space="preserve">Rozvoj výzkumně orientovaných studijních programů Mendelovy univerzity v Brně </w:t>
    </w:r>
  </w:p>
  <w:p w14:paraId="6DED849F" w14:textId="574AACEF"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hAnsi="Calibri" w:cs="Calibri"/>
        <w:color w:val="242424"/>
        <w:shd w:val="clear" w:color="auto" w:fill="FFFFFF"/>
      </w:rPr>
      <w:t xml:space="preserve">(MENDELU PhD </w:t>
    </w:r>
    <w:proofErr w:type="spellStart"/>
    <w:r w:rsidRPr="00EF5365">
      <w:rPr>
        <w:rFonts w:ascii="Calibri" w:hAnsi="Calibri" w:cs="Calibri"/>
        <w:color w:val="242424"/>
        <w:shd w:val="clear" w:color="auto" w:fill="FFFFFF"/>
      </w:rPr>
      <w:t>Infra</w:t>
    </w:r>
    <w:proofErr w:type="spellEnd"/>
    <w:r w:rsidRPr="00EF5365">
      <w:rPr>
        <w:rFonts w:ascii="Calibri" w:hAnsi="Calibri" w:cs="Calibri"/>
        <w:color w:val="242424"/>
        <w:shd w:val="clear" w:color="auto" w:fill="FFFFFF"/>
      </w:rPr>
      <w:t>),</w:t>
    </w:r>
    <w:r>
      <w:rPr>
        <w:rFonts w:ascii="Calibri" w:hAnsi="Calibri" w:cs="Calibri"/>
        <w:color w:val="242424"/>
        <w:shd w:val="clear" w:color="auto" w:fill="FFFFFF"/>
      </w:rPr>
      <w:t xml:space="preserve"> </w:t>
    </w:r>
    <w:proofErr w:type="spellStart"/>
    <w:r w:rsidRPr="00EF5365">
      <w:rPr>
        <w:rFonts w:ascii="Calibri" w:hAnsi="Calibri" w:cs="Calibri"/>
        <w:color w:val="242424"/>
        <w:shd w:val="clear" w:color="auto" w:fill="FFFFFF"/>
      </w:rPr>
      <w:t>reg</w:t>
    </w:r>
    <w:proofErr w:type="spellEnd"/>
    <w:r w:rsidRPr="00EF5365">
      <w:rPr>
        <w:rFonts w:ascii="Calibri" w:hAnsi="Calibri" w:cs="Calibri"/>
        <w:color w:val="242424"/>
        <w:shd w:val="clear" w:color="auto" w:fill="FFFFFF"/>
      </w:rPr>
      <w:t>. č. projektu: CZ.02.01.01/00/22_012/0004847</w:t>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9"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1"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0"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6"/>
  </w:num>
  <w:num w:numId="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1"/>
  </w:num>
  <w:num w:numId="12">
    <w:abstractNumId w:val="33"/>
  </w:num>
  <w:num w:numId="13">
    <w:abstractNumId w:val="8"/>
  </w:num>
  <w:num w:numId="14">
    <w:abstractNumId w:val="28"/>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7"/>
  </w:num>
  <w:num w:numId="20">
    <w:abstractNumId w:val="36"/>
  </w:num>
  <w:num w:numId="21">
    <w:abstractNumId w:val="21"/>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3"/>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5"/>
  </w:num>
  <w:num w:numId="30">
    <w:abstractNumId w:val="1"/>
  </w:num>
  <w:num w:numId="31">
    <w:abstractNumId w:val="7"/>
  </w:num>
  <w:num w:numId="32">
    <w:abstractNumId w:val="19"/>
  </w:num>
  <w:num w:numId="33">
    <w:abstractNumId w:val="27"/>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2"/>
  </w:num>
  <w:num w:numId="36">
    <w:abstractNumId w:val="25"/>
  </w:num>
  <w:num w:numId="37">
    <w:abstractNumId w:val="24"/>
  </w:num>
  <w:num w:numId="38">
    <w:abstractNumId w:val="9"/>
  </w:num>
  <w:num w:numId="39">
    <w:abstractNumId w:val="13"/>
  </w:num>
  <w:num w:numId="40">
    <w:abstractNumId w:val="20"/>
  </w:num>
  <w:num w:numId="41">
    <w:abstractNumId w:val="18"/>
  </w:num>
  <w:num w:numId="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57F15"/>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5E35"/>
    <w:rsid w:val="001112F7"/>
    <w:rsid w:val="00115B4B"/>
    <w:rsid w:val="00123CE4"/>
    <w:rsid w:val="001272C1"/>
    <w:rsid w:val="00142C0E"/>
    <w:rsid w:val="001439A6"/>
    <w:rsid w:val="00162A52"/>
    <w:rsid w:val="001650A6"/>
    <w:rsid w:val="00171A38"/>
    <w:rsid w:val="00173A79"/>
    <w:rsid w:val="001759E6"/>
    <w:rsid w:val="001808D2"/>
    <w:rsid w:val="00190DED"/>
    <w:rsid w:val="0019323C"/>
    <w:rsid w:val="001A0E27"/>
    <w:rsid w:val="001A1C69"/>
    <w:rsid w:val="001B0102"/>
    <w:rsid w:val="001B696D"/>
    <w:rsid w:val="00203B89"/>
    <w:rsid w:val="00221E71"/>
    <w:rsid w:val="00233723"/>
    <w:rsid w:val="00245047"/>
    <w:rsid w:val="00255288"/>
    <w:rsid w:val="00265BA0"/>
    <w:rsid w:val="0027555D"/>
    <w:rsid w:val="00284704"/>
    <w:rsid w:val="002951B1"/>
    <w:rsid w:val="002963CB"/>
    <w:rsid w:val="002A7E64"/>
    <w:rsid w:val="002B148D"/>
    <w:rsid w:val="002B6F5E"/>
    <w:rsid w:val="002E3DF7"/>
    <w:rsid w:val="003017D3"/>
    <w:rsid w:val="0030523E"/>
    <w:rsid w:val="003150E7"/>
    <w:rsid w:val="00320202"/>
    <w:rsid w:val="00332C29"/>
    <w:rsid w:val="003339A7"/>
    <w:rsid w:val="0033504D"/>
    <w:rsid w:val="00353FB0"/>
    <w:rsid w:val="003625D7"/>
    <w:rsid w:val="003649BB"/>
    <w:rsid w:val="003751C6"/>
    <w:rsid w:val="003848C6"/>
    <w:rsid w:val="003862D4"/>
    <w:rsid w:val="00391389"/>
    <w:rsid w:val="00394408"/>
    <w:rsid w:val="00397D08"/>
    <w:rsid w:val="003A737B"/>
    <w:rsid w:val="003D2352"/>
    <w:rsid w:val="003D6E3A"/>
    <w:rsid w:val="003E4AB1"/>
    <w:rsid w:val="003E7DC0"/>
    <w:rsid w:val="00401F3D"/>
    <w:rsid w:val="004132C2"/>
    <w:rsid w:val="00417E42"/>
    <w:rsid w:val="00443D64"/>
    <w:rsid w:val="00446BC7"/>
    <w:rsid w:val="0046445F"/>
    <w:rsid w:val="00482F6D"/>
    <w:rsid w:val="00483234"/>
    <w:rsid w:val="00483BA5"/>
    <w:rsid w:val="004848FC"/>
    <w:rsid w:val="00492B51"/>
    <w:rsid w:val="00492F05"/>
    <w:rsid w:val="004941CB"/>
    <w:rsid w:val="004A0C12"/>
    <w:rsid w:val="004A40B8"/>
    <w:rsid w:val="004C7FF0"/>
    <w:rsid w:val="004D1B51"/>
    <w:rsid w:val="004F2056"/>
    <w:rsid w:val="005118EE"/>
    <w:rsid w:val="0051251E"/>
    <w:rsid w:val="00517E6B"/>
    <w:rsid w:val="00521BCF"/>
    <w:rsid w:val="0053244A"/>
    <w:rsid w:val="005331CA"/>
    <w:rsid w:val="0053348C"/>
    <w:rsid w:val="005518BB"/>
    <w:rsid w:val="00555F4C"/>
    <w:rsid w:val="005671DE"/>
    <w:rsid w:val="00567FD0"/>
    <w:rsid w:val="0058668E"/>
    <w:rsid w:val="00587CB4"/>
    <w:rsid w:val="00591451"/>
    <w:rsid w:val="00597F7F"/>
    <w:rsid w:val="005A0B88"/>
    <w:rsid w:val="005A1AA7"/>
    <w:rsid w:val="005A3D3A"/>
    <w:rsid w:val="005B6BAC"/>
    <w:rsid w:val="005C189A"/>
    <w:rsid w:val="005C222F"/>
    <w:rsid w:val="005C29C7"/>
    <w:rsid w:val="005C6E72"/>
    <w:rsid w:val="005E03CA"/>
    <w:rsid w:val="0060382A"/>
    <w:rsid w:val="00612D8F"/>
    <w:rsid w:val="00617406"/>
    <w:rsid w:val="00620950"/>
    <w:rsid w:val="00626933"/>
    <w:rsid w:val="00627959"/>
    <w:rsid w:val="00645B31"/>
    <w:rsid w:val="00672655"/>
    <w:rsid w:val="00685CC8"/>
    <w:rsid w:val="006865AD"/>
    <w:rsid w:val="00696EF0"/>
    <w:rsid w:val="006B365A"/>
    <w:rsid w:val="006B7009"/>
    <w:rsid w:val="006C41BB"/>
    <w:rsid w:val="006C78B6"/>
    <w:rsid w:val="006D538D"/>
    <w:rsid w:val="006E02F4"/>
    <w:rsid w:val="006F162F"/>
    <w:rsid w:val="00706744"/>
    <w:rsid w:val="0071640D"/>
    <w:rsid w:val="00720F8C"/>
    <w:rsid w:val="00724C4E"/>
    <w:rsid w:val="00734981"/>
    <w:rsid w:val="0073674E"/>
    <w:rsid w:val="00745227"/>
    <w:rsid w:val="00774784"/>
    <w:rsid w:val="00786932"/>
    <w:rsid w:val="00791CB9"/>
    <w:rsid w:val="00797F4A"/>
    <w:rsid w:val="007A75FA"/>
    <w:rsid w:val="007C299F"/>
    <w:rsid w:val="007D56B6"/>
    <w:rsid w:val="007E5891"/>
    <w:rsid w:val="007F4D29"/>
    <w:rsid w:val="0080153E"/>
    <w:rsid w:val="00803297"/>
    <w:rsid w:val="0083333D"/>
    <w:rsid w:val="00834071"/>
    <w:rsid w:val="00841209"/>
    <w:rsid w:val="00846EF6"/>
    <w:rsid w:val="0085367F"/>
    <w:rsid w:val="0088205F"/>
    <w:rsid w:val="00887F35"/>
    <w:rsid w:val="0089126F"/>
    <w:rsid w:val="00895010"/>
    <w:rsid w:val="008A0719"/>
    <w:rsid w:val="008B2D5A"/>
    <w:rsid w:val="008B672C"/>
    <w:rsid w:val="008C08C0"/>
    <w:rsid w:val="008D3956"/>
    <w:rsid w:val="008E1A22"/>
    <w:rsid w:val="00902C55"/>
    <w:rsid w:val="00902F72"/>
    <w:rsid w:val="009103CB"/>
    <w:rsid w:val="00913852"/>
    <w:rsid w:val="00914378"/>
    <w:rsid w:val="00917722"/>
    <w:rsid w:val="009221B6"/>
    <w:rsid w:val="009408D6"/>
    <w:rsid w:val="009432B1"/>
    <w:rsid w:val="00957DB4"/>
    <w:rsid w:val="00960A3E"/>
    <w:rsid w:val="00963AE4"/>
    <w:rsid w:val="00977405"/>
    <w:rsid w:val="0098245A"/>
    <w:rsid w:val="00987116"/>
    <w:rsid w:val="009871FF"/>
    <w:rsid w:val="009B0E58"/>
    <w:rsid w:val="009B366F"/>
    <w:rsid w:val="009B59A6"/>
    <w:rsid w:val="009C24C2"/>
    <w:rsid w:val="009C73CB"/>
    <w:rsid w:val="009D13DA"/>
    <w:rsid w:val="009D7A70"/>
    <w:rsid w:val="00A075CC"/>
    <w:rsid w:val="00A17C49"/>
    <w:rsid w:val="00A31363"/>
    <w:rsid w:val="00A40951"/>
    <w:rsid w:val="00A5133A"/>
    <w:rsid w:val="00A53C36"/>
    <w:rsid w:val="00A56D2C"/>
    <w:rsid w:val="00A6184A"/>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81295"/>
    <w:rsid w:val="00BB5FA9"/>
    <w:rsid w:val="00BD1177"/>
    <w:rsid w:val="00BE65B6"/>
    <w:rsid w:val="00C006A0"/>
    <w:rsid w:val="00C016F5"/>
    <w:rsid w:val="00C07C82"/>
    <w:rsid w:val="00C315E1"/>
    <w:rsid w:val="00C37CB1"/>
    <w:rsid w:val="00C5357B"/>
    <w:rsid w:val="00C6120C"/>
    <w:rsid w:val="00C77B09"/>
    <w:rsid w:val="00C820A8"/>
    <w:rsid w:val="00C83C63"/>
    <w:rsid w:val="00C83DFA"/>
    <w:rsid w:val="00C93236"/>
    <w:rsid w:val="00C974CC"/>
    <w:rsid w:val="00CC0E26"/>
    <w:rsid w:val="00CC52CC"/>
    <w:rsid w:val="00CC5731"/>
    <w:rsid w:val="00CD219B"/>
    <w:rsid w:val="00CD3C22"/>
    <w:rsid w:val="00CE7538"/>
    <w:rsid w:val="00CF0238"/>
    <w:rsid w:val="00D069DD"/>
    <w:rsid w:val="00D139EA"/>
    <w:rsid w:val="00D15A69"/>
    <w:rsid w:val="00D219D0"/>
    <w:rsid w:val="00D411D3"/>
    <w:rsid w:val="00D42A1C"/>
    <w:rsid w:val="00D43F1F"/>
    <w:rsid w:val="00D46DA8"/>
    <w:rsid w:val="00D554F8"/>
    <w:rsid w:val="00D607D4"/>
    <w:rsid w:val="00D73880"/>
    <w:rsid w:val="00D838DC"/>
    <w:rsid w:val="00D85000"/>
    <w:rsid w:val="00D92503"/>
    <w:rsid w:val="00D93B84"/>
    <w:rsid w:val="00D966B0"/>
    <w:rsid w:val="00D97193"/>
    <w:rsid w:val="00DA303B"/>
    <w:rsid w:val="00DB3364"/>
    <w:rsid w:val="00DC01BF"/>
    <w:rsid w:val="00DC5159"/>
    <w:rsid w:val="00E00EEA"/>
    <w:rsid w:val="00E245AE"/>
    <w:rsid w:val="00E45A6D"/>
    <w:rsid w:val="00E507A2"/>
    <w:rsid w:val="00E57235"/>
    <w:rsid w:val="00E74A72"/>
    <w:rsid w:val="00E77E8A"/>
    <w:rsid w:val="00E81FAE"/>
    <w:rsid w:val="00E968EA"/>
    <w:rsid w:val="00EC101D"/>
    <w:rsid w:val="00ED215C"/>
    <w:rsid w:val="00ED2544"/>
    <w:rsid w:val="00EF0AF7"/>
    <w:rsid w:val="00F04138"/>
    <w:rsid w:val="00F07204"/>
    <w:rsid w:val="00F10EE3"/>
    <w:rsid w:val="00F2471D"/>
    <w:rsid w:val="00F37FB1"/>
    <w:rsid w:val="00F40B32"/>
    <w:rsid w:val="00F51826"/>
    <w:rsid w:val="00F55F44"/>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130323666">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4965</Words>
  <Characters>29297</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Veronika Řezníková</cp:lastModifiedBy>
  <cp:revision>15</cp:revision>
  <cp:lastPrinted>2022-02-28T08:30:00Z</cp:lastPrinted>
  <dcterms:created xsi:type="dcterms:W3CDTF">2025-05-13T06:44:00Z</dcterms:created>
  <dcterms:modified xsi:type="dcterms:W3CDTF">2025-08-04T07:38:00Z</dcterms:modified>
</cp:coreProperties>
</file>