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79F" w14:textId="182C4A0A" w:rsidR="00331365" w:rsidRDefault="00331365" w:rsidP="00331365">
      <w:pPr>
        <w:autoSpaceDN/>
        <w:adjustRightInd/>
        <w:rPr>
          <w:b/>
          <w:color w:val="CE003C"/>
          <w:sz w:val="36"/>
          <w:szCs w:val="36"/>
        </w:rPr>
      </w:pPr>
      <w:r>
        <w:rPr>
          <w:b/>
          <w:noProof/>
          <w:color w:val="CE003C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6A8A6E51" wp14:editId="34CC2ECD">
            <wp:simplePos x="0" y="0"/>
            <wp:positionH relativeFrom="column">
              <wp:posOffset>-539115</wp:posOffset>
            </wp:positionH>
            <wp:positionV relativeFrom="paragraph">
              <wp:posOffset>-765810</wp:posOffset>
            </wp:positionV>
            <wp:extent cx="5941060" cy="875665"/>
            <wp:effectExtent l="0" t="0" r="2540" b="63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7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F2413" w14:textId="77777777" w:rsidR="00331365" w:rsidRDefault="00331365" w:rsidP="00331365">
      <w:pPr>
        <w:autoSpaceDN/>
        <w:adjustRightInd/>
        <w:ind w:left="1134" w:hanging="1134"/>
        <w:rPr>
          <w:b/>
          <w:color w:val="CE003C"/>
          <w:sz w:val="36"/>
          <w:szCs w:val="36"/>
        </w:rPr>
      </w:pPr>
    </w:p>
    <w:p w14:paraId="2777D847" w14:textId="77777777" w:rsidR="00331365" w:rsidRDefault="00331365" w:rsidP="00331365">
      <w:pPr>
        <w:autoSpaceDN/>
        <w:adjustRightInd/>
        <w:ind w:left="1134" w:hanging="1134"/>
        <w:rPr>
          <w:b/>
          <w:color w:val="CE003C"/>
          <w:sz w:val="36"/>
          <w:szCs w:val="36"/>
        </w:rPr>
      </w:pPr>
      <w:r>
        <w:rPr>
          <w:b/>
          <w:color w:val="CE003C"/>
          <w:sz w:val="36"/>
          <w:szCs w:val="36"/>
        </w:rPr>
        <w:t>B.   SOUHRNNÁ TECHNICKÁ ZPRÁVA</w:t>
      </w:r>
    </w:p>
    <w:p w14:paraId="2398B921" w14:textId="77777777" w:rsidR="00D25029" w:rsidRDefault="00D25029" w:rsidP="00D25029">
      <w:pPr>
        <w:autoSpaceDN/>
        <w:adjustRightInd/>
        <w:rPr>
          <w:b/>
          <w:color w:val="CE003C"/>
          <w:sz w:val="36"/>
          <w:szCs w:val="36"/>
        </w:rPr>
      </w:pPr>
    </w:p>
    <w:p w14:paraId="3502DF56" w14:textId="77777777" w:rsidR="00D25029" w:rsidRPr="001D3B96" w:rsidRDefault="00D25029" w:rsidP="00D25029">
      <w:pPr>
        <w:pBdr>
          <w:top w:val="single" w:sz="4" w:space="4" w:color="000000"/>
          <w:left w:val="single" w:sz="4" w:space="0" w:color="000000"/>
          <w:bottom w:val="single" w:sz="4" w:space="4" w:color="000000"/>
          <w:right w:val="single" w:sz="4" w:space="0" w:color="000000"/>
        </w:pBdr>
        <w:shd w:val="clear" w:color="auto" w:fill="000000"/>
        <w:tabs>
          <w:tab w:val="center" w:pos="4536"/>
          <w:tab w:val="right" w:pos="9072"/>
        </w:tabs>
        <w:jc w:val="both"/>
        <w:rPr>
          <w:rFonts w:cs="Arial"/>
          <w:b/>
          <w:color w:val="FFFFFF"/>
          <w:sz w:val="30"/>
          <w:szCs w:val="30"/>
        </w:rPr>
      </w:pPr>
      <w:r w:rsidRPr="001D3B96">
        <w:rPr>
          <w:rFonts w:ascii="Calibri" w:hAnsi="Calibri" w:cs="Arial"/>
          <w:b/>
          <w:color w:val="FFFFFF"/>
          <w:sz w:val="30"/>
          <w:szCs w:val="30"/>
        </w:rPr>
        <w:t>DŘEVAŘSKÝ PAVILÓN – BUDOVA „T“, MENDELOVA UNIVERZITA V BRNĚ</w:t>
      </w:r>
    </w:p>
    <w:p w14:paraId="4A3EB07F" w14:textId="77777777" w:rsidR="00D25029" w:rsidRDefault="00D25029" w:rsidP="00D25029">
      <w:pPr>
        <w:autoSpaceDN/>
        <w:adjustRightInd/>
        <w:ind w:left="-57"/>
        <w:rPr>
          <w:noProof/>
        </w:rPr>
      </w:pPr>
      <w:r>
        <w:rPr>
          <w:noProof/>
        </w:rPr>
        <w:drawing>
          <wp:inline distT="0" distB="0" distL="0" distR="0" wp14:anchorId="726E6DF5" wp14:editId="117D390E">
            <wp:extent cx="5976000" cy="4484554"/>
            <wp:effectExtent l="19050" t="19050" r="24765" b="11430"/>
            <wp:docPr id="4" name="Obrázek 4" descr="Obsah obrázku budova, exteriér, obloha, obytný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budova, exteriér, obloha, obytný dů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448455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205D233" w14:textId="77777777" w:rsidR="00D25029" w:rsidRDefault="00D25029" w:rsidP="00D25029">
      <w:pPr>
        <w:autoSpaceDN/>
        <w:adjustRightInd/>
        <w:rPr>
          <w:noProof/>
        </w:rPr>
      </w:pPr>
    </w:p>
    <w:tbl>
      <w:tblPr>
        <w:tblW w:w="99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80" w:firstRow="0" w:lastRow="0" w:firstColumn="1" w:lastColumn="0" w:noHBand="0" w:noVBand="0"/>
      </w:tblPr>
      <w:tblGrid>
        <w:gridCol w:w="2500"/>
        <w:gridCol w:w="7400"/>
      </w:tblGrid>
      <w:tr w:rsidR="00D25029" w:rsidRPr="007410AA" w14:paraId="1BB1E3F7" w14:textId="77777777" w:rsidTr="00387C2C">
        <w:trPr>
          <w:trHeight w:val="217"/>
        </w:trPr>
        <w:tc>
          <w:tcPr>
            <w:tcW w:w="2500" w:type="dxa"/>
            <w:tcBorders>
              <w:top w:val="nil"/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145DD51B" w14:textId="77777777" w:rsidR="00D25029" w:rsidRPr="007410AA" w:rsidRDefault="00D25029" w:rsidP="00387C2C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bookmarkStart w:id="0" w:name="_Hlk38448260"/>
            <w:r w:rsidRPr="007410AA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ZADAVATEL</w:t>
            </w:r>
          </w:p>
        </w:tc>
        <w:tc>
          <w:tcPr>
            <w:tcW w:w="7400" w:type="dxa"/>
            <w:tcBorders>
              <w:top w:val="nil"/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6EC539D5" w14:textId="77777777" w:rsidR="00D25029" w:rsidRDefault="00D25029" w:rsidP="00387C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Mendelova univerzita 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Brně</w:t>
            </w:r>
          </w:p>
          <w:p w14:paraId="1F489618" w14:textId="77777777" w:rsidR="00D25029" w:rsidRPr="00D6634D" w:rsidRDefault="00D25029" w:rsidP="00387C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Rektorát a celoškolská pracoviště</w:t>
            </w:r>
          </w:p>
          <w:p w14:paraId="3EB2D7FB" w14:textId="77777777" w:rsidR="00D25029" w:rsidRDefault="00D25029" w:rsidP="00387C2C">
            <w:pPr>
              <w:tabs>
                <w:tab w:val="left" w:pos="1985"/>
                <w:tab w:val="left" w:pos="2127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 xml:space="preserve">Zemědělská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1665/</w:t>
            </w: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 Černá Pole</w:t>
            </w:r>
          </w:p>
          <w:p w14:paraId="6E149A0A" w14:textId="77777777" w:rsidR="00D25029" w:rsidRPr="00D6634D" w:rsidRDefault="00D25029" w:rsidP="00387C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613 00 Brno</w:t>
            </w:r>
          </w:p>
          <w:p w14:paraId="27665404" w14:textId="77777777" w:rsidR="00D25029" w:rsidRPr="007410AA" w:rsidRDefault="00D25029" w:rsidP="00387C2C">
            <w:pPr>
              <w:tabs>
                <w:tab w:val="left" w:pos="1985"/>
                <w:tab w:val="left" w:pos="2127"/>
              </w:tabs>
              <w:jc w:val="both"/>
              <w:rPr>
                <w:rFonts w:ascii="Calibri" w:hAnsi="Calibri" w:cs="Arial"/>
                <w:b/>
              </w:rPr>
            </w:pP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IČ: 621 56 489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 xml:space="preserve">I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DIČ: CZ62156489</w:t>
            </w:r>
          </w:p>
        </w:tc>
      </w:tr>
      <w:tr w:rsidR="00D25029" w:rsidRPr="007410AA" w14:paraId="5BA38BA6" w14:textId="77777777" w:rsidTr="00387C2C">
        <w:trPr>
          <w:trHeight w:val="258"/>
        </w:trPr>
        <w:tc>
          <w:tcPr>
            <w:tcW w:w="2500" w:type="dxa"/>
            <w:tcBorders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12832B49" w14:textId="77777777" w:rsidR="00D25029" w:rsidRPr="007410AA" w:rsidRDefault="00D25029" w:rsidP="00387C2C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 w:rsidRPr="00AD4D5C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ZHOTOVITEL ČÁSTI SANACE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4D205DF8" w14:textId="77777777" w:rsidR="00D25029" w:rsidRPr="00D6634D" w:rsidRDefault="00D25029" w:rsidP="00387C2C">
            <w:pPr>
              <w:spacing w:before="120"/>
              <w:rPr>
                <w:rFonts w:ascii="Calibri" w:hAnsi="Calibri" w:cs="Arial"/>
                <w:b/>
                <w:sz w:val="22"/>
                <w:szCs w:val="22"/>
              </w:rPr>
            </w:pPr>
            <w:r w:rsidRPr="00D6634D">
              <w:rPr>
                <w:rFonts w:ascii="Calibri" w:hAnsi="Calibri" w:cs="Arial"/>
                <w:b/>
                <w:sz w:val="22"/>
                <w:szCs w:val="22"/>
              </w:rPr>
              <w:t>IZOLACE A SANACE ZDIVA – PRINS, s.r.o.</w:t>
            </w:r>
          </w:p>
          <w:p w14:paraId="6DC1D3C0" w14:textId="77777777" w:rsidR="00D25029" w:rsidRPr="00D6634D" w:rsidRDefault="00D25029" w:rsidP="00387C2C">
            <w:pPr>
              <w:spacing w:after="60" w:line="276" w:lineRule="auto"/>
              <w:ind w:left="-28" w:firstLine="28"/>
              <w:rPr>
                <w:rFonts w:ascii="Calibri" w:hAnsi="Calibri" w:cs="Arial"/>
                <w:b/>
                <w:sz w:val="22"/>
                <w:szCs w:val="22"/>
              </w:rPr>
            </w:pPr>
            <w:r w:rsidRPr="00D6634D">
              <w:rPr>
                <w:rFonts w:ascii="Calibri" w:hAnsi="Calibri" w:cs="Arial"/>
                <w:b/>
                <w:sz w:val="22"/>
                <w:szCs w:val="22"/>
              </w:rPr>
              <w:t>Čechova 969/19, 750 02 Přerov</w:t>
            </w:r>
          </w:p>
          <w:p w14:paraId="3FE552BA" w14:textId="77777777" w:rsidR="00D25029" w:rsidRPr="007410AA" w:rsidRDefault="00D25029" w:rsidP="00387C2C">
            <w:pPr>
              <w:autoSpaceDN/>
              <w:adjustRightInd/>
              <w:spacing w:line="276" w:lineRule="auto"/>
              <w:ind w:left="-28" w:firstLine="28"/>
              <w:rPr>
                <w:rFonts w:ascii="Calibri" w:hAnsi="Calibri" w:cs="Arial"/>
                <w:b/>
                <w:color w:val="000000"/>
              </w:rPr>
            </w:pP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 xml:space="preserve">IČ: 285 91 747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 xml:space="preserve">I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DIČ: CZ28591747</w:t>
            </w:r>
          </w:p>
        </w:tc>
      </w:tr>
      <w:tr w:rsidR="00D25029" w:rsidRPr="007410AA" w14:paraId="055E4AF6" w14:textId="77777777" w:rsidTr="00387C2C">
        <w:trPr>
          <w:trHeight w:val="258"/>
        </w:trPr>
        <w:tc>
          <w:tcPr>
            <w:tcW w:w="2500" w:type="dxa"/>
            <w:tcBorders>
              <w:bottom w:val="nil"/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2C315698" w14:textId="77777777" w:rsidR="00D25029" w:rsidRPr="007410AA" w:rsidRDefault="00D25029" w:rsidP="00387C2C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 w:rsidRPr="007410AA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DATUM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7BD3BF49" w14:textId="77777777" w:rsidR="00D25029" w:rsidRPr="00D25029" w:rsidRDefault="00D25029" w:rsidP="00387C2C">
            <w:pPr>
              <w:autoSpaceDN/>
              <w:adjustRightInd/>
              <w:spacing w:before="120"/>
              <w:rPr>
                <w:rFonts w:ascii="Calibri" w:hAnsi="Calibri" w:cs="Arial"/>
                <w:b/>
                <w:sz w:val="22"/>
                <w:szCs w:val="28"/>
              </w:rPr>
            </w:pPr>
            <w:r w:rsidRPr="00D25029">
              <w:rPr>
                <w:rFonts w:ascii="Calibri" w:hAnsi="Calibri" w:cs="Arial"/>
                <w:b/>
                <w:sz w:val="22"/>
                <w:szCs w:val="28"/>
              </w:rPr>
              <w:t>KVĚTEN 2022</w:t>
            </w:r>
          </w:p>
        </w:tc>
      </w:tr>
      <w:tr w:rsidR="00D25029" w:rsidRPr="007410AA" w14:paraId="2A949246" w14:textId="77777777" w:rsidTr="00387C2C">
        <w:trPr>
          <w:trHeight w:val="258"/>
        </w:trPr>
        <w:tc>
          <w:tcPr>
            <w:tcW w:w="2500" w:type="dxa"/>
            <w:tcBorders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0D6E612A" w14:textId="77777777" w:rsidR="00D25029" w:rsidRPr="007410AA" w:rsidRDefault="00D25029" w:rsidP="00387C2C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STUPEŇ DOKUMENTACE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5E9238A9" w14:textId="7C27D0F3" w:rsidR="00D25029" w:rsidRPr="009E5F02" w:rsidRDefault="00D25029" w:rsidP="00387C2C">
            <w:pPr>
              <w:autoSpaceDN/>
              <w:adjustRightInd/>
              <w:spacing w:before="120" w:line="276" w:lineRule="auto"/>
              <w:ind w:left="-28" w:firstLine="28"/>
              <w:rPr>
                <w:rFonts w:ascii="Calibri" w:hAnsi="Calibri" w:cs="Arial"/>
                <w:b/>
                <w:sz w:val="22"/>
                <w:szCs w:val="28"/>
              </w:rPr>
            </w:pPr>
            <w:r>
              <w:rPr>
                <w:rFonts w:ascii="Calibri" w:hAnsi="Calibri" w:cs="Arial"/>
                <w:b/>
                <w:sz w:val="22"/>
                <w:szCs w:val="28"/>
              </w:rPr>
              <w:t>DPS</w:t>
            </w:r>
          </w:p>
        </w:tc>
      </w:tr>
      <w:bookmarkEnd w:id="0"/>
    </w:tbl>
    <w:p w14:paraId="20BC49F8" w14:textId="77777777" w:rsidR="00D25029" w:rsidRDefault="00D25029" w:rsidP="00D25029"/>
    <w:p w14:paraId="5F7E9119" w14:textId="77777777" w:rsidR="00331365" w:rsidRDefault="00331365" w:rsidP="00331365">
      <w:pPr>
        <w:autoSpaceDN/>
        <w:adjustRightInd/>
        <w:ind w:left="1134" w:hanging="1134"/>
        <w:sectPr w:rsidR="00331365" w:rsidSect="00331365">
          <w:headerReference w:type="default" r:id="rId9"/>
          <w:footerReference w:type="default" r:id="rId10"/>
          <w:pgSz w:w="11905" w:h="16837"/>
          <w:pgMar w:top="1276" w:right="1415" w:bottom="1659" w:left="1134" w:header="1134" w:footer="1134" w:gutter="0"/>
          <w:pgBorders w:display="firstPage"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noEndnote/>
          <w:titlePg/>
          <w:docGrid w:linePitch="272"/>
        </w:sectPr>
      </w:pPr>
    </w:p>
    <w:p w14:paraId="159156A2" w14:textId="77777777" w:rsidR="00331365" w:rsidRPr="00F1511C" w:rsidRDefault="00331365" w:rsidP="00331365">
      <w:pPr>
        <w:pStyle w:val="Nadpis3"/>
        <w:rPr>
          <w:rFonts w:ascii="Calibri" w:hAnsi="Calibri"/>
          <w:sz w:val="24"/>
          <w:szCs w:val="24"/>
        </w:rPr>
      </w:pPr>
      <w:r w:rsidRPr="00F1511C">
        <w:rPr>
          <w:rFonts w:ascii="Calibri" w:hAnsi="Calibri"/>
          <w:sz w:val="24"/>
          <w:szCs w:val="24"/>
        </w:rPr>
        <w:lastRenderedPageBreak/>
        <w:t>B.1</w:t>
      </w:r>
      <w:r w:rsidRPr="00F1511C">
        <w:rPr>
          <w:rFonts w:ascii="Calibri" w:hAnsi="Calibri"/>
          <w:sz w:val="24"/>
          <w:szCs w:val="24"/>
        </w:rPr>
        <w:tab/>
        <w:t>Popis území stavby</w:t>
      </w:r>
    </w:p>
    <w:p w14:paraId="03B54392" w14:textId="77777777" w:rsidR="00331365" w:rsidRPr="00F1511C" w:rsidRDefault="00331365" w:rsidP="00331365">
      <w:pPr>
        <w:jc w:val="both"/>
        <w:rPr>
          <w:rFonts w:ascii="Calibri" w:hAnsi="Calibri"/>
          <w:b/>
          <w:sz w:val="24"/>
        </w:rPr>
      </w:pPr>
    </w:p>
    <w:p w14:paraId="5BEDECCA" w14:textId="77777777" w:rsidR="00331365" w:rsidRDefault="00331365" w:rsidP="00D25029">
      <w:pPr>
        <w:spacing w:after="120"/>
        <w:jc w:val="both"/>
        <w:rPr>
          <w:rFonts w:ascii="Calibri" w:hAnsi="Calibri"/>
          <w:b/>
          <w:sz w:val="24"/>
        </w:rPr>
      </w:pPr>
      <w:r w:rsidRPr="00743B71">
        <w:rPr>
          <w:rFonts w:ascii="Calibri" w:hAnsi="Calibri"/>
          <w:b/>
          <w:sz w:val="24"/>
        </w:rPr>
        <w:t xml:space="preserve">a) charakteristika území a stavebního pozemku, zastavěné území a nezastavěné území, soulad navrhované stavby s charakterem území, dosavadní využití a zastavěnost území </w:t>
      </w:r>
    </w:p>
    <w:p w14:paraId="09B8752C" w14:textId="50FBCBCA" w:rsidR="008266D4" w:rsidRPr="00853169" w:rsidRDefault="008266D4" w:rsidP="008266D4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Mendelova univerzita v Brně</w:t>
      </w:r>
      <w:r w:rsidRPr="00AD4D5C">
        <w:rPr>
          <w:rFonts w:ascii="Calibri" w:hAnsi="Calibri"/>
          <w:sz w:val="24"/>
        </w:rPr>
        <w:t xml:space="preserve">, </w:t>
      </w:r>
      <w:r>
        <w:rPr>
          <w:rFonts w:ascii="Calibri" w:hAnsi="Calibri"/>
          <w:sz w:val="24"/>
        </w:rPr>
        <w:t xml:space="preserve">Dřevařský pavilón – budova „T“, </w:t>
      </w:r>
      <w:r w:rsidR="006201F3">
        <w:rPr>
          <w:rFonts w:ascii="Calibri" w:hAnsi="Calibri"/>
          <w:sz w:val="24"/>
        </w:rPr>
        <w:t xml:space="preserve">Lesnická 812, 613 00 </w:t>
      </w:r>
      <w:r>
        <w:rPr>
          <w:rFonts w:ascii="Calibri" w:hAnsi="Calibri"/>
          <w:sz w:val="24"/>
          <w:lang w:val="en-GB"/>
        </w:rPr>
        <w:t xml:space="preserve">Brno – sever, </w:t>
      </w:r>
      <w:proofErr w:type="spellStart"/>
      <w:r>
        <w:rPr>
          <w:rFonts w:ascii="Calibri" w:hAnsi="Calibri"/>
          <w:sz w:val="24"/>
          <w:lang w:val="en-GB"/>
        </w:rPr>
        <w:t>Jihomoravský</w:t>
      </w:r>
      <w:proofErr w:type="spellEnd"/>
      <w:r w:rsidRPr="00DA3445">
        <w:rPr>
          <w:rFonts w:ascii="Calibri" w:hAnsi="Calibri"/>
          <w:sz w:val="24"/>
          <w:lang w:val="en-GB"/>
        </w:rPr>
        <w:t xml:space="preserve"> </w:t>
      </w:r>
      <w:proofErr w:type="spellStart"/>
      <w:r w:rsidRPr="00DA3445">
        <w:rPr>
          <w:rFonts w:ascii="Calibri" w:hAnsi="Calibri"/>
          <w:sz w:val="24"/>
          <w:lang w:val="en-GB"/>
        </w:rPr>
        <w:t>kraj</w:t>
      </w:r>
      <w:proofErr w:type="spellEnd"/>
      <w:r>
        <w:rPr>
          <w:rFonts w:ascii="Calibri" w:hAnsi="Calibri"/>
          <w:sz w:val="24"/>
          <w:lang w:val="en-GB"/>
        </w:rPr>
        <w:t>.</w:t>
      </w:r>
    </w:p>
    <w:p w14:paraId="51A1D66D" w14:textId="16710103" w:rsidR="00331365" w:rsidRDefault="00331365" w:rsidP="00331365">
      <w:pPr>
        <w:jc w:val="both"/>
        <w:rPr>
          <w:rFonts w:ascii="Calibri" w:hAnsi="Calibri"/>
          <w:sz w:val="24"/>
        </w:rPr>
      </w:pPr>
      <w:r w:rsidRPr="00FB30DC">
        <w:rPr>
          <w:rFonts w:ascii="Calibri" w:hAnsi="Calibri"/>
          <w:sz w:val="24"/>
        </w:rPr>
        <w:t xml:space="preserve">Objekt </w:t>
      </w:r>
      <w:r w:rsidR="008266D4">
        <w:rPr>
          <w:rFonts w:ascii="Calibri" w:hAnsi="Calibri"/>
          <w:sz w:val="24"/>
        </w:rPr>
        <w:t>není</w:t>
      </w:r>
      <w:r w:rsidRPr="00FB30DC">
        <w:rPr>
          <w:rFonts w:ascii="Calibri" w:hAnsi="Calibri"/>
          <w:sz w:val="24"/>
        </w:rPr>
        <w:t xml:space="preserve"> kulturní památk</w:t>
      </w:r>
      <w:r w:rsidR="008266D4">
        <w:rPr>
          <w:rFonts w:ascii="Calibri" w:hAnsi="Calibri"/>
          <w:sz w:val="24"/>
        </w:rPr>
        <w:t>ou</w:t>
      </w:r>
      <w:r w:rsidRPr="00FB30DC">
        <w:rPr>
          <w:rFonts w:ascii="Calibri" w:hAnsi="Calibri"/>
          <w:sz w:val="24"/>
        </w:rPr>
        <w:t xml:space="preserve"> zapsan</w:t>
      </w:r>
      <w:r w:rsidR="008266D4">
        <w:rPr>
          <w:rFonts w:ascii="Calibri" w:hAnsi="Calibri"/>
          <w:sz w:val="24"/>
        </w:rPr>
        <w:t>ou</w:t>
      </w:r>
      <w:r w:rsidRPr="00FB30DC">
        <w:rPr>
          <w:rFonts w:ascii="Calibri" w:hAnsi="Calibri"/>
          <w:sz w:val="24"/>
        </w:rPr>
        <w:t xml:space="preserve"> ve Státním</w:t>
      </w:r>
      <w:r>
        <w:rPr>
          <w:rFonts w:ascii="Calibri" w:hAnsi="Calibri"/>
          <w:sz w:val="24"/>
        </w:rPr>
        <w:t xml:space="preserve"> </w:t>
      </w:r>
      <w:r w:rsidRPr="00FB30DC">
        <w:rPr>
          <w:rFonts w:ascii="Calibri" w:hAnsi="Calibri"/>
          <w:sz w:val="24"/>
        </w:rPr>
        <w:t>seznamu nemovitých kulturních památek.</w:t>
      </w:r>
      <w:r>
        <w:rPr>
          <w:rFonts w:ascii="Calibri" w:hAnsi="Calibri"/>
          <w:sz w:val="24"/>
        </w:rPr>
        <w:t xml:space="preserve"> </w:t>
      </w:r>
      <w:r w:rsidRPr="00FB30DC">
        <w:rPr>
          <w:rFonts w:ascii="Calibri" w:hAnsi="Calibri"/>
          <w:sz w:val="24"/>
        </w:rPr>
        <w:t xml:space="preserve">Budova je postavena na pozemku </w:t>
      </w:r>
      <w:r w:rsidR="00BF5FE3">
        <w:rPr>
          <w:rFonts w:ascii="Calibri" w:hAnsi="Calibri"/>
          <w:sz w:val="24"/>
        </w:rPr>
        <w:t>č. 56/1</w:t>
      </w:r>
      <w:r w:rsidRPr="00FB30DC">
        <w:rPr>
          <w:rFonts w:ascii="Calibri" w:hAnsi="Calibri"/>
          <w:sz w:val="24"/>
        </w:rPr>
        <w:t xml:space="preserve"> v katastrálním území </w:t>
      </w:r>
      <w:r w:rsidR="00BF5FE3">
        <w:rPr>
          <w:rFonts w:ascii="Calibri" w:hAnsi="Calibri"/>
          <w:sz w:val="24"/>
        </w:rPr>
        <w:t>Černá Pole</w:t>
      </w:r>
      <w:r w:rsidRPr="00FB30DC">
        <w:rPr>
          <w:rFonts w:ascii="Calibri" w:hAnsi="Calibri"/>
          <w:sz w:val="24"/>
        </w:rPr>
        <w:t xml:space="preserve"> </w:t>
      </w:r>
      <w:r w:rsidR="00BF5FE3">
        <w:rPr>
          <w:rFonts w:ascii="Calibri" w:hAnsi="Calibri"/>
          <w:sz w:val="24"/>
        </w:rPr>
        <w:t>[610771]</w:t>
      </w:r>
      <w:r w:rsidRPr="00FB30DC">
        <w:rPr>
          <w:rFonts w:ascii="Calibri" w:hAnsi="Calibri"/>
          <w:sz w:val="24"/>
        </w:rPr>
        <w:t xml:space="preserve"> a</w:t>
      </w:r>
      <w:r>
        <w:rPr>
          <w:rFonts w:ascii="Calibri" w:hAnsi="Calibri"/>
          <w:sz w:val="24"/>
        </w:rPr>
        <w:t xml:space="preserve"> </w:t>
      </w:r>
      <w:r w:rsidRPr="00FB30DC">
        <w:rPr>
          <w:rFonts w:ascii="Calibri" w:hAnsi="Calibri"/>
          <w:sz w:val="24"/>
        </w:rPr>
        <w:t xml:space="preserve">je ve vlastnictví </w:t>
      </w:r>
      <w:r w:rsidR="00BF5FE3">
        <w:rPr>
          <w:rFonts w:ascii="Calibri" w:hAnsi="Calibri"/>
          <w:sz w:val="24"/>
        </w:rPr>
        <w:t>Mendelovy univerzity v Brně</w:t>
      </w:r>
      <w:r w:rsidRPr="00FB30DC"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 xml:space="preserve"> </w:t>
      </w:r>
      <w:r w:rsidR="00BF5FE3">
        <w:rPr>
          <w:rFonts w:ascii="Calibri" w:hAnsi="Calibri"/>
          <w:sz w:val="24"/>
        </w:rPr>
        <w:t xml:space="preserve">Objekt </w:t>
      </w:r>
      <w:r w:rsidR="00BD263C">
        <w:rPr>
          <w:rFonts w:ascii="Calibri" w:hAnsi="Calibri"/>
          <w:sz w:val="24"/>
        </w:rPr>
        <w:t>je využíván jako budova školy.</w:t>
      </w:r>
    </w:p>
    <w:p w14:paraId="48ABF3A8" w14:textId="77777777" w:rsidR="00331365" w:rsidRDefault="00331365" w:rsidP="00331365">
      <w:pPr>
        <w:rPr>
          <w:rFonts w:ascii="Calibri" w:hAnsi="Calibri"/>
          <w:sz w:val="24"/>
        </w:rPr>
      </w:pPr>
    </w:p>
    <w:p w14:paraId="07AF48A1" w14:textId="77777777" w:rsidR="00331365" w:rsidRPr="002B00C4" w:rsidRDefault="00331365" w:rsidP="00605751">
      <w:pPr>
        <w:spacing w:after="120"/>
        <w:jc w:val="both"/>
        <w:rPr>
          <w:rFonts w:ascii="Calibri" w:hAnsi="Calibri"/>
          <w:b/>
          <w:sz w:val="24"/>
        </w:rPr>
      </w:pPr>
      <w:r w:rsidRPr="002B00C4">
        <w:rPr>
          <w:rFonts w:ascii="Calibri" w:hAnsi="Calibri"/>
          <w:b/>
          <w:sz w:val="24"/>
        </w:rPr>
        <w:t>b) údaje o souladu s územním rozhodnutím nebo regulačním plánem nebo veřejnoprávní smlouvou územní rozhodnutí nahrazující anebo územním souhlasem</w:t>
      </w:r>
    </w:p>
    <w:p w14:paraId="6A81FEBC" w14:textId="77777777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Jelikož se jedná o sanaci vlhkého zdiva stávajícího objektu, kdy je provedeno odvlhčení obvodového a vnitřního zdiva s obnovou povrchových úprav, nemají tyto práce žádný vliv na regulační plán ani územní rozhodnutí.</w:t>
      </w:r>
    </w:p>
    <w:p w14:paraId="18165F9F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2D5F0AC3" w14:textId="77777777" w:rsidR="00331365" w:rsidRPr="002B00C4" w:rsidRDefault="00331365" w:rsidP="00605751">
      <w:pPr>
        <w:spacing w:after="120"/>
        <w:jc w:val="both"/>
        <w:rPr>
          <w:rFonts w:ascii="Calibri" w:hAnsi="Calibri"/>
          <w:b/>
          <w:sz w:val="24"/>
        </w:rPr>
      </w:pPr>
      <w:r w:rsidRPr="002B00C4">
        <w:rPr>
          <w:rFonts w:ascii="Calibri" w:hAnsi="Calibri"/>
          <w:b/>
          <w:sz w:val="24"/>
        </w:rPr>
        <w:t>c) údaje o souladu s územně plánovací dokumentací, v případě stavebních úprav podmiňujících změnu v užívání stavby</w:t>
      </w:r>
    </w:p>
    <w:p w14:paraId="322CB6EE" w14:textId="77777777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Jedná se o sanaci stávajícího vlhkého zdiva. Navržené opatření neovlivňuje stávající soulad s územně plánovací dokumentací. Nejsou navrženy žádné stavební úpravy, které mění užívání stávající stavby.</w:t>
      </w:r>
    </w:p>
    <w:p w14:paraId="78728500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5C654836" w14:textId="77777777" w:rsidR="00331365" w:rsidRPr="00447E0D" w:rsidRDefault="00331365" w:rsidP="00605751">
      <w:pPr>
        <w:spacing w:after="120"/>
        <w:jc w:val="both"/>
        <w:rPr>
          <w:rFonts w:ascii="Calibri" w:hAnsi="Calibri"/>
          <w:b/>
          <w:sz w:val="24"/>
        </w:rPr>
      </w:pPr>
      <w:r w:rsidRPr="00447E0D">
        <w:rPr>
          <w:rFonts w:ascii="Calibri" w:hAnsi="Calibri"/>
          <w:b/>
          <w:sz w:val="24"/>
        </w:rPr>
        <w:t>d) informace o vydaných rozhodnutích o povolení výjimky z obecných požadavků na využívání území</w:t>
      </w:r>
    </w:p>
    <w:p w14:paraId="34901928" w14:textId="77777777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Zpracovateli dokumentace nejsou známy rozhodnutí o povolení výjimky z obecných požadavků na využívání území.</w:t>
      </w:r>
    </w:p>
    <w:p w14:paraId="1721EFB2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0BF5432E" w14:textId="77777777" w:rsidR="00331365" w:rsidRPr="006201F3" w:rsidRDefault="00331365" w:rsidP="00605751">
      <w:pPr>
        <w:spacing w:after="120"/>
        <w:jc w:val="both"/>
        <w:rPr>
          <w:rFonts w:ascii="Calibri" w:hAnsi="Calibri"/>
          <w:b/>
          <w:sz w:val="24"/>
        </w:rPr>
      </w:pPr>
      <w:r w:rsidRPr="006201F3">
        <w:rPr>
          <w:rFonts w:ascii="Calibri" w:hAnsi="Calibri"/>
          <w:b/>
          <w:sz w:val="24"/>
        </w:rPr>
        <w:t>e) informace o tom, zda a v jakých částech dokumentace jsou zohledněny podmínky závazných stanovisek dotčených orgánů</w:t>
      </w:r>
    </w:p>
    <w:p w14:paraId="5B1EE213" w14:textId="63B1FE8E" w:rsidR="00331365" w:rsidRPr="006201F3" w:rsidRDefault="006201F3" w:rsidP="00331365">
      <w:pPr>
        <w:jc w:val="both"/>
        <w:rPr>
          <w:rFonts w:ascii="Calibri" w:hAnsi="Calibri"/>
          <w:sz w:val="24"/>
        </w:rPr>
      </w:pPr>
      <w:r w:rsidRPr="006201F3">
        <w:rPr>
          <w:rFonts w:ascii="Calibri" w:hAnsi="Calibri"/>
          <w:sz w:val="24"/>
        </w:rPr>
        <w:t>Bez požadavků.</w:t>
      </w:r>
    </w:p>
    <w:p w14:paraId="4AD3CCBE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3A6266B2" w14:textId="320AB48E" w:rsidR="00331365" w:rsidRPr="006F7C30" w:rsidRDefault="00331365" w:rsidP="00F862DC">
      <w:pPr>
        <w:spacing w:after="120"/>
        <w:jc w:val="both"/>
        <w:rPr>
          <w:rFonts w:ascii="Calibri" w:hAnsi="Calibri"/>
          <w:b/>
          <w:sz w:val="24"/>
        </w:rPr>
      </w:pPr>
      <w:r w:rsidRPr="006F7C30">
        <w:rPr>
          <w:rFonts w:ascii="Calibri" w:hAnsi="Calibri"/>
          <w:b/>
          <w:sz w:val="24"/>
        </w:rPr>
        <w:t xml:space="preserve">f) výčet a závěry provedených průzkumů a </w:t>
      </w:r>
      <w:r w:rsidR="00605751" w:rsidRPr="006F7C30">
        <w:rPr>
          <w:rFonts w:ascii="Calibri" w:hAnsi="Calibri"/>
          <w:b/>
          <w:sz w:val="24"/>
        </w:rPr>
        <w:t>rozborů – geologický</w:t>
      </w:r>
      <w:r w:rsidRPr="006F7C30">
        <w:rPr>
          <w:rFonts w:ascii="Calibri" w:hAnsi="Calibri"/>
          <w:b/>
          <w:sz w:val="24"/>
        </w:rPr>
        <w:t xml:space="preserve"> průzkum, hydrogeologický průzkum, stavebně historický průzkum apod.</w:t>
      </w:r>
    </w:p>
    <w:p w14:paraId="6C0A940D" w14:textId="60B7310A" w:rsidR="00331365" w:rsidRDefault="00331365" w:rsidP="00331365">
      <w:pPr>
        <w:jc w:val="both"/>
        <w:rPr>
          <w:rFonts w:ascii="Calibri" w:hAnsi="Calibri"/>
          <w:sz w:val="24"/>
        </w:rPr>
      </w:pPr>
      <w:r w:rsidRPr="00F1511C">
        <w:rPr>
          <w:rFonts w:ascii="Calibri" w:hAnsi="Calibri"/>
          <w:sz w:val="24"/>
        </w:rPr>
        <w:t>Na</w:t>
      </w:r>
      <w:r>
        <w:rPr>
          <w:rFonts w:ascii="Calibri" w:hAnsi="Calibri"/>
          <w:sz w:val="24"/>
        </w:rPr>
        <w:t xml:space="preserve"> posuzovaném objektu </w:t>
      </w:r>
      <w:r w:rsidRPr="00F1511C">
        <w:rPr>
          <w:rFonts w:ascii="Calibri" w:hAnsi="Calibri"/>
          <w:sz w:val="24"/>
        </w:rPr>
        <w:t>byl proveden stavebně technický vlhkostní průzkum</w:t>
      </w:r>
      <w:r>
        <w:rPr>
          <w:rFonts w:ascii="Calibri" w:hAnsi="Calibri"/>
          <w:sz w:val="24"/>
        </w:rPr>
        <w:t xml:space="preserve"> </w:t>
      </w:r>
      <w:r w:rsidRPr="00F1511C">
        <w:rPr>
          <w:rFonts w:ascii="Calibri" w:hAnsi="Calibri"/>
          <w:sz w:val="24"/>
        </w:rPr>
        <w:t>z</w:t>
      </w:r>
      <w:r>
        <w:rPr>
          <w:rFonts w:ascii="Calibri" w:hAnsi="Calibri"/>
          <w:sz w:val="24"/>
        </w:rPr>
        <w:t> 0</w:t>
      </w:r>
      <w:r w:rsidR="00605751">
        <w:rPr>
          <w:rFonts w:ascii="Calibri" w:hAnsi="Calibri"/>
          <w:sz w:val="24"/>
        </w:rPr>
        <w:t>8</w:t>
      </w:r>
      <w:r>
        <w:rPr>
          <w:rFonts w:ascii="Calibri" w:hAnsi="Calibri"/>
          <w:sz w:val="24"/>
        </w:rPr>
        <w:t>/2021</w:t>
      </w:r>
      <w:r w:rsidRPr="00F1511C">
        <w:rPr>
          <w:rFonts w:ascii="Calibri" w:hAnsi="Calibri"/>
          <w:sz w:val="24"/>
        </w:rPr>
        <w:t xml:space="preserve"> zpracovaný fy. </w:t>
      </w:r>
      <w:r w:rsidR="00605751" w:rsidRPr="00D91FED">
        <w:rPr>
          <w:rFonts w:ascii="Calibri" w:hAnsi="Calibri" w:cs="Calibri"/>
          <w:sz w:val="24"/>
          <w:szCs w:val="32"/>
        </w:rPr>
        <w:t>IZOLACE A SANACE ZDIVA – PRINS, s.r.o.</w:t>
      </w:r>
      <w:r w:rsidRPr="00F1511C">
        <w:rPr>
          <w:rFonts w:ascii="Calibri" w:hAnsi="Calibri"/>
          <w:sz w:val="24"/>
        </w:rPr>
        <w:t>, kdy se prokázala nutnost řešení sanace vlhkého zdiva vlivem vysoké hm</w:t>
      </w:r>
      <w:r w:rsidR="00605751">
        <w:rPr>
          <w:rFonts w:ascii="Calibri" w:hAnsi="Calibri"/>
          <w:sz w:val="24"/>
        </w:rPr>
        <w:t>otnostní</w:t>
      </w:r>
      <w:r w:rsidRPr="00F1511C">
        <w:rPr>
          <w:rFonts w:ascii="Calibri" w:hAnsi="Calibri"/>
          <w:sz w:val="24"/>
        </w:rPr>
        <w:t xml:space="preserve"> vlhkosti </w:t>
      </w:r>
      <w:r>
        <w:rPr>
          <w:rFonts w:ascii="Calibri" w:hAnsi="Calibri"/>
          <w:sz w:val="24"/>
        </w:rPr>
        <w:t>konstrukcí zdiva</w:t>
      </w:r>
      <w:r w:rsidRPr="00F1511C">
        <w:rPr>
          <w:rFonts w:ascii="Calibri" w:hAnsi="Calibri"/>
          <w:sz w:val="24"/>
        </w:rPr>
        <w:t xml:space="preserve">. </w:t>
      </w:r>
    </w:p>
    <w:p w14:paraId="6CDEAB4F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355EE7D1" w14:textId="3ADA37AF" w:rsidR="00331365" w:rsidRPr="00CD4509" w:rsidRDefault="00331365" w:rsidP="00331365">
      <w:pPr>
        <w:jc w:val="both"/>
        <w:rPr>
          <w:rFonts w:ascii="Calibri" w:hAnsi="Calibri" w:cs="Calibri"/>
          <w:bCs/>
          <w:sz w:val="24"/>
          <w:u w:val="single"/>
        </w:rPr>
      </w:pPr>
      <w:r w:rsidRPr="00CD4509">
        <w:rPr>
          <w:rFonts w:ascii="Calibri" w:hAnsi="Calibri" w:cs="Calibri"/>
          <w:bCs/>
          <w:sz w:val="24"/>
          <w:u w:val="single"/>
        </w:rPr>
        <w:t>Skutečnosti zjištěné průzkumem</w:t>
      </w:r>
      <w:r w:rsidR="00CD4509" w:rsidRPr="00CD4509">
        <w:rPr>
          <w:rFonts w:ascii="Calibri" w:hAnsi="Calibri" w:cs="Calibri"/>
          <w:bCs/>
          <w:sz w:val="24"/>
          <w:u w:val="single"/>
        </w:rPr>
        <w:t>:</w:t>
      </w:r>
      <w:r w:rsidRPr="00CD4509">
        <w:rPr>
          <w:rFonts w:ascii="Calibri" w:hAnsi="Calibri" w:cs="Calibri"/>
          <w:bCs/>
          <w:sz w:val="24"/>
          <w:u w:val="single"/>
        </w:rPr>
        <w:t xml:space="preserve"> </w:t>
      </w:r>
    </w:p>
    <w:p w14:paraId="60533F6F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Posuzovaný objekt prošel částečnou rekonstrukcí vnitřních i vnějších ploch. Obvod vnitřních stěn byl v minulosti opatřen hydroizolační stěrkou a sanačními omítkami. Z venkovní strany jsou plochy kolem objektu tvořeny spádovými betony, které jsou spádovány do žlabů, který je ukončen kanalizační vpustí.</w:t>
      </w:r>
    </w:p>
    <w:p w14:paraId="74B57ABC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lastRenderedPageBreak/>
        <w:t>Zdivo posuzovaného objektu je z cihel plných pálených. Podlahové plochy v suterénu jsou opatřeny keramickou dlažbou, sondy do podlah se neprováděly.</w:t>
      </w:r>
    </w:p>
    <w:p w14:paraId="71327056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Suterénní prostory nejsou nijak větrány a nedochází k dostatečné výměně vzduchu.</w:t>
      </w:r>
    </w:p>
    <w:p w14:paraId="370C7EC4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 xml:space="preserve">Na vnitřním zdivu jsou viditelná místa poškození a zasolení na omítkách, tyto místa se nacházejí převážně v místech vedení elektriky. Elektrické vedení je </w:t>
      </w:r>
      <w:proofErr w:type="spellStart"/>
      <w:r w:rsidRPr="00CD4509">
        <w:rPr>
          <w:rFonts w:ascii="Calibri" w:hAnsi="Calibri" w:cs="Calibri"/>
          <w:sz w:val="24"/>
          <w:szCs w:val="32"/>
        </w:rPr>
        <w:t>nakotveno</w:t>
      </w:r>
      <w:proofErr w:type="spellEnd"/>
      <w:r w:rsidRPr="00CD4509">
        <w:rPr>
          <w:rFonts w:ascii="Calibri" w:hAnsi="Calibri" w:cs="Calibri"/>
          <w:sz w:val="24"/>
          <w:szCs w:val="32"/>
        </w:rPr>
        <w:t xml:space="preserve"> do sádry, která díky svým hydroskopickým vlastnostem natahuje vlhkost. Následně na omítkách vznikají mokré a zasolené fleky. Sanační omítky jsou z velké části odfouklé od podkladu, to mohlo vzniknout při realizaci, kdy nebyl dodržen přesný technologický postup provádění.</w:t>
      </w:r>
    </w:p>
    <w:p w14:paraId="7567F1DA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Na vnitřních stěnách byly provedeny sondy, kde byla na dvou místech na stěnách suterénu odstraněna omítková vrstva. Pod omítkami se objevila silikátová hydroizolační stěrka, pod stěrkou již cihelné zdivo. V obou sondách stejné zjištění.</w:t>
      </w:r>
    </w:p>
    <w:p w14:paraId="2FB6316E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Pouze v kotelně nebyl v minulosti proveden žádný zásah do stěn.</w:t>
      </w:r>
    </w:p>
    <w:p w14:paraId="7B931EE6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Venkovní zpevněné plochy jsou vybetonovány a z přední strany jsou spádovány od objektu do betonového žlabu. Betony nesou řadu trhlin a prasklin, kterými dochází k zatékání srážkových vod. V zadní části je také zpevněná plocha z betonu, která přechází do asfaltových ploch. Betonové plochy jsou také značně popraskané a napojovací spára na asfalt není nijak ošetřena proti možnému zatékání.</w:t>
      </w:r>
    </w:p>
    <w:p w14:paraId="56156ADE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Při provedených kopaných sondách byla zjištěna rubová izolace z asfaltových pásů, která je chráněna cihelnou předstěnou, zjištěná skladba při kopané sondě:</w:t>
      </w:r>
    </w:p>
    <w:p w14:paraId="0EB1B6AB" w14:textId="77777777" w:rsidR="00CD4509" w:rsidRPr="00CD4509" w:rsidRDefault="00CD4509" w:rsidP="00CD4509">
      <w:pPr>
        <w:ind w:firstLine="567"/>
        <w:jc w:val="both"/>
        <w:rPr>
          <w:rFonts w:ascii="Calibri" w:hAnsi="Calibri" w:cs="Calibri"/>
          <w:sz w:val="24"/>
          <w:szCs w:val="32"/>
          <w:u w:val="single"/>
        </w:rPr>
      </w:pPr>
      <w:r w:rsidRPr="00CD4509">
        <w:rPr>
          <w:rFonts w:ascii="Calibri" w:hAnsi="Calibri" w:cs="Calibri"/>
          <w:sz w:val="24"/>
          <w:szCs w:val="32"/>
          <w:u w:val="single"/>
        </w:rPr>
        <w:t>Přední strana objektu</w:t>
      </w:r>
    </w:p>
    <w:p w14:paraId="52B986CD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tabs>
          <w:tab w:val="clear" w:pos="4320"/>
        </w:tabs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Povrchový spádový beton</w:t>
      </w:r>
    </w:p>
    <w:p w14:paraId="327547A8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tabs>
          <w:tab w:val="clear" w:pos="4320"/>
        </w:tabs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Násyp písku</w:t>
      </w:r>
    </w:p>
    <w:p w14:paraId="584AC20F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tabs>
          <w:tab w:val="clear" w:pos="4320"/>
        </w:tabs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Pás asfaltové lepenky vytažený na stěnu</w:t>
      </w:r>
    </w:p>
    <w:p w14:paraId="4703A4F9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tabs>
          <w:tab w:val="clear" w:pos="4320"/>
        </w:tabs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 xml:space="preserve">Podkladní beton šířky cca 300 mm  </w:t>
      </w:r>
    </w:p>
    <w:p w14:paraId="71DCB108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tabs>
          <w:tab w:val="clear" w:pos="4320"/>
        </w:tabs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Rostlý terén</w:t>
      </w:r>
    </w:p>
    <w:p w14:paraId="3A80722C" w14:textId="77777777" w:rsidR="00CD4509" w:rsidRPr="00CD4509" w:rsidRDefault="00CD4509" w:rsidP="00CD4509">
      <w:pPr>
        <w:pStyle w:val="Odstavecseseznamem"/>
        <w:ind w:left="2160" w:hanging="1593"/>
        <w:jc w:val="both"/>
        <w:rPr>
          <w:rFonts w:ascii="Calibri" w:hAnsi="Calibri" w:cs="Calibri"/>
          <w:sz w:val="24"/>
          <w:szCs w:val="32"/>
          <w:u w:val="single"/>
        </w:rPr>
      </w:pPr>
      <w:r w:rsidRPr="00CD4509">
        <w:rPr>
          <w:rFonts w:ascii="Calibri" w:hAnsi="Calibri" w:cs="Calibri"/>
          <w:sz w:val="24"/>
          <w:szCs w:val="32"/>
          <w:u w:val="single"/>
        </w:rPr>
        <w:t>Zadní strana objektu</w:t>
      </w:r>
    </w:p>
    <w:p w14:paraId="6CA8DBF9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Betonová dlažba</w:t>
      </w:r>
    </w:p>
    <w:p w14:paraId="250BBF11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Podkladní beton</w:t>
      </w:r>
    </w:p>
    <w:p w14:paraId="4EADC053" w14:textId="77777777" w:rsidR="00CD4509" w:rsidRPr="00CD4509" w:rsidRDefault="00CD4509" w:rsidP="00CD4509">
      <w:pPr>
        <w:pStyle w:val="Odstavecseseznamem"/>
        <w:widowControl/>
        <w:numPr>
          <w:ilvl w:val="5"/>
          <w:numId w:val="36"/>
        </w:numPr>
        <w:autoSpaceDN/>
        <w:adjustRightInd/>
        <w:ind w:left="851" w:hanging="284"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Rostlý terén</w:t>
      </w:r>
    </w:p>
    <w:p w14:paraId="7AB7FF20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Dešťové svody jsou svedené do kanalizace přes lapače dešťových splavenin. Při kontrole byly lapače částečně zaneseny. Pro jejich funkčnost je nutné jejich pravidelná kontrola.</w:t>
      </w:r>
    </w:p>
    <w:p w14:paraId="7FC359B2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Venkovní soklová část je částečně degradována, tato degradace je způsobena od odstřikujících dešťových vod a spojením těchto povrchových úprav s venkovními zpevněnými plochami. Při rekonstrukci nutno oddělit tzv. nutou.</w:t>
      </w:r>
    </w:p>
    <w:p w14:paraId="0454F13C" w14:textId="77777777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Vnitřní prostory zůstávají bez dispozičních změn.</w:t>
      </w:r>
    </w:p>
    <w:p w14:paraId="49B7501B" w14:textId="3890731C" w:rsidR="00CD4509" w:rsidRPr="00CD4509" w:rsidRDefault="00CD4509" w:rsidP="00CD4509">
      <w:pPr>
        <w:pStyle w:val="Odstavecseseznamem"/>
        <w:widowControl/>
        <w:numPr>
          <w:ilvl w:val="0"/>
          <w:numId w:val="36"/>
        </w:numPr>
        <w:autoSpaceDN/>
        <w:adjustRightInd/>
        <w:contextualSpacing/>
        <w:jc w:val="both"/>
        <w:rPr>
          <w:rFonts w:ascii="Calibri" w:hAnsi="Calibri" w:cs="Calibri"/>
          <w:sz w:val="24"/>
          <w:szCs w:val="32"/>
        </w:rPr>
      </w:pPr>
      <w:r w:rsidRPr="00CD4509">
        <w:rPr>
          <w:rFonts w:ascii="Calibri" w:hAnsi="Calibri" w:cs="Calibri"/>
          <w:sz w:val="24"/>
          <w:szCs w:val="32"/>
        </w:rPr>
        <w:t>Prostory</w:t>
      </w:r>
      <w:r w:rsidR="008C6736">
        <w:rPr>
          <w:rFonts w:ascii="Calibri" w:hAnsi="Calibri" w:cs="Calibri"/>
          <w:sz w:val="24"/>
          <w:szCs w:val="32"/>
        </w:rPr>
        <w:t xml:space="preserve"> ve</w:t>
      </w:r>
      <w:r w:rsidRPr="00CD4509">
        <w:rPr>
          <w:rFonts w:ascii="Calibri" w:hAnsi="Calibri" w:cs="Calibri"/>
          <w:sz w:val="24"/>
          <w:szCs w:val="32"/>
        </w:rPr>
        <w:t xml:space="preserve"> vyšších podlažích nebyly posuzovány, jelikož tyto nejsou předmětem stavebně technického vlhkostního průzkumu a návrhu sanace posuzovaného objektu.</w:t>
      </w:r>
    </w:p>
    <w:p w14:paraId="0B852747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0E407E4D" w14:textId="77777777" w:rsidR="00331365" w:rsidRDefault="00331365" w:rsidP="00331365">
      <w:pPr>
        <w:jc w:val="both"/>
        <w:rPr>
          <w:rFonts w:ascii="Calibri" w:hAnsi="Calibri"/>
          <w:sz w:val="24"/>
        </w:rPr>
      </w:pPr>
      <w:r w:rsidRPr="00463A8E">
        <w:rPr>
          <w:rFonts w:ascii="Calibri" w:hAnsi="Calibri"/>
          <w:sz w:val="24"/>
        </w:rPr>
        <w:t>Dá se reálně předpokládat, že stav bez příslušných sanačních opatření se bude nadále zhoršovat.</w:t>
      </w:r>
    </w:p>
    <w:p w14:paraId="5B3A0997" w14:textId="77777777" w:rsidR="00331365" w:rsidRDefault="00331365" w:rsidP="00331365">
      <w:pPr>
        <w:jc w:val="both"/>
        <w:rPr>
          <w:rFonts w:ascii="Calibri" w:hAnsi="Calibri"/>
          <w:b/>
          <w:sz w:val="24"/>
        </w:rPr>
      </w:pPr>
    </w:p>
    <w:p w14:paraId="5C8ED9D8" w14:textId="77777777" w:rsidR="00331365" w:rsidRDefault="00331365" w:rsidP="00F862DC">
      <w:pPr>
        <w:spacing w:after="120"/>
        <w:jc w:val="both"/>
        <w:rPr>
          <w:rFonts w:ascii="Calibri" w:hAnsi="Calibri"/>
          <w:b/>
          <w:sz w:val="24"/>
        </w:rPr>
      </w:pPr>
      <w:r w:rsidRPr="006B4867">
        <w:rPr>
          <w:rFonts w:ascii="Calibri" w:hAnsi="Calibri"/>
          <w:b/>
          <w:sz w:val="24"/>
        </w:rPr>
        <w:t>g) ochrana území podle jiných právních předpisů</w:t>
      </w:r>
    </w:p>
    <w:p w14:paraId="6F481433" w14:textId="453EBDCB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Nedojde k zásahu do veřejných ploch. Veškeré práce budou prováděny na pozemku investora. Stávající objekt </w:t>
      </w:r>
      <w:r w:rsidR="00CD4509">
        <w:rPr>
          <w:rFonts w:ascii="Calibri" w:hAnsi="Calibri"/>
          <w:sz w:val="24"/>
        </w:rPr>
        <w:t>není</w:t>
      </w:r>
      <w:r>
        <w:rPr>
          <w:rFonts w:ascii="Calibri" w:hAnsi="Calibri"/>
          <w:sz w:val="24"/>
        </w:rPr>
        <w:t xml:space="preserve"> památkově chráněný</w:t>
      </w:r>
      <w:r w:rsidRPr="00F1511C">
        <w:rPr>
          <w:rFonts w:ascii="Calibri" w:hAnsi="Calibri"/>
          <w:sz w:val="24"/>
        </w:rPr>
        <w:t>.</w:t>
      </w:r>
    </w:p>
    <w:p w14:paraId="3B3BD579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017960FF" w14:textId="59747448" w:rsidR="00331365" w:rsidRPr="00B1054F" w:rsidRDefault="00331365" w:rsidP="00F862DC">
      <w:pPr>
        <w:spacing w:after="120"/>
        <w:jc w:val="both"/>
        <w:rPr>
          <w:rFonts w:ascii="Calibri" w:hAnsi="Calibri" w:cs="Calibri"/>
          <w:b/>
          <w:sz w:val="24"/>
        </w:rPr>
      </w:pPr>
      <w:r w:rsidRPr="00B1054F">
        <w:rPr>
          <w:rFonts w:ascii="Calibri" w:hAnsi="Calibri" w:cs="Calibri"/>
          <w:b/>
          <w:sz w:val="24"/>
        </w:rPr>
        <w:lastRenderedPageBreak/>
        <w:t>h) poloha vzhledem k záplavovému území, poddolovanému území apod.</w:t>
      </w:r>
    </w:p>
    <w:p w14:paraId="288AC88A" w14:textId="77777777" w:rsidR="00331365" w:rsidRDefault="00331365" w:rsidP="00331365">
      <w:pPr>
        <w:jc w:val="both"/>
        <w:rPr>
          <w:rFonts w:ascii="Calibri" w:hAnsi="Calibri"/>
          <w:sz w:val="24"/>
        </w:rPr>
      </w:pPr>
      <w:r w:rsidRPr="00F1511C">
        <w:rPr>
          <w:rFonts w:ascii="Calibri" w:hAnsi="Calibri"/>
          <w:sz w:val="24"/>
        </w:rPr>
        <w:t>Objekt se nenachází v záplavovém ani na poddolovaném území.</w:t>
      </w:r>
      <w:r>
        <w:rPr>
          <w:rFonts w:ascii="Calibri" w:hAnsi="Calibri"/>
          <w:sz w:val="24"/>
        </w:rPr>
        <w:t xml:space="preserve"> </w:t>
      </w:r>
      <w:r w:rsidRPr="002937E7">
        <w:rPr>
          <w:rFonts w:ascii="Calibri" w:hAnsi="Calibri"/>
          <w:sz w:val="24"/>
        </w:rPr>
        <w:t>Dle digitální báze vodohospodářských dat se nenachází v záplavové oblasti pro 5-leté, 20-leté, ani 100-leté vody.</w:t>
      </w:r>
    </w:p>
    <w:p w14:paraId="6F3C2EEC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72E10270" w14:textId="77777777" w:rsidR="00331365" w:rsidRPr="006B4867" w:rsidRDefault="00331365" w:rsidP="00F862DC">
      <w:pPr>
        <w:spacing w:after="120"/>
        <w:jc w:val="both"/>
        <w:rPr>
          <w:rFonts w:ascii="Calibri" w:hAnsi="Calibri"/>
          <w:b/>
          <w:sz w:val="24"/>
        </w:rPr>
      </w:pPr>
      <w:r w:rsidRPr="006B4867">
        <w:rPr>
          <w:rFonts w:ascii="Calibri" w:hAnsi="Calibri"/>
          <w:b/>
          <w:sz w:val="24"/>
        </w:rPr>
        <w:t>i) vliv stavby na okolní stavby a pozemky, ochrana okolí, vliv stavby na odtokové poměry v území</w:t>
      </w:r>
    </w:p>
    <w:p w14:paraId="3D277E18" w14:textId="6B8415A1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Sanace vlhkého zdiva nebude mít negativní vliv na okolní stavby a pozemky. Práce se budou provádět na pozemku investora. O</w:t>
      </w:r>
      <w:r w:rsidRPr="00F1511C">
        <w:rPr>
          <w:rFonts w:ascii="Calibri" w:hAnsi="Calibri"/>
          <w:sz w:val="24"/>
        </w:rPr>
        <w:t xml:space="preserve">dtokové poměry </w:t>
      </w:r>
      <w:r>
        <w:rPr>
          <w:rFonts w:ascii="Calibri" w:hAnsi="Calibri"/>
          <w:sz w:val="24"/>
        </w:rPr>
        <w:t xml:space="preserve">z přilehlých zpevněných a nezpevněných ploch </w:t>
      </w:r>
      <w:r w:rsidRPr="00F1511C">
        <w:rPr>
          <w:rFonts w:ascii="Calibri" w:hAnsi="Calibri"/>
          <w:sz w:val="24"/>
        </w:rPr>
        <w:t xml:space="preserve">nebudou stavebními úpravami </w:t>
      </w:r>
      <w:r>
        <w:rPr>
          <w:rFonts w:ascii="Calibri" w:hAnsi="Calibri"/>
          <w:sz w:val="24"/>
        </w:rPr>
        <w:t>zhoršen</w:t>
      </w:r>
      <w:r w:rsidRPr="00F1511C">
        <w:rPr>
          <w:rFonts w:ascii="Calibri" w:hAnsi="Calibri"/>
          <w:sz w:val="24"/>
        </w:rPr>
        <w:t>y.</w:t>
      </w:r>
    </w:p>
    <w:p w14:paraId="2F1D3EDA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10010CC3" w14:textId="77777777" w:rsidR="00331365" w:rsidRPr="00FC0175" w:rsidRDefault="00331365" w:rsidP="00F862DC">
      <w:pPr>
        <w:spacing w:after="120"/>
        <w:jc w:val="both"/>
        <w:rPr>
          <w:rFonts w:ascii="Calibri" w:hAnsi="Calibri"/>
          <w:b/>
          <w:sz w:val="24"/>
        </w:rPr>
      </w:pPr>
      <w:r w:rsidRPr="00FC0175">
        <w:rPr>
          <w:rFonts w:ascii="Calibri" w:hAnsi="Calibri"/>
          <w:b/>
          <w:sz w:val="24"/>
        </w:rPr>
        <w:t>j) požadavky na asanace, demolice, kácení dřevin</w:t>
      </w:r>
    </w:p>
    <w:p w14:paraId="135346F8" w14:textId="4DE0926B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Sanace vlhkého zdiva stávajícího objektu nevyžaduje žádné demolice objektů, asanaci území či kácení dřevin.</w:t>
      </w:r>
    </w:p>
    <w:p w14:paraId="7CD65F6C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4717AF70" w14:textId="77777777" w:rsidR="00331365" w:rsidRDefault="00331365" w:rsidP="004C29A7">
      <w:pPr>
        <w:spacing w:after="120"/>
        <w:jc w:val="both"/>
        <w:rPr>
          <w:rFonts w:ascii="Calibri" w:hAnsi="Calibri"/>
          <w:b/>
          <w:sz w:val="24"/>
        </w:rPr>
      </w:pPr>
      <w:r w:rsidRPr="00F61498">
        <w:rPr>
          <w:rFonts w:ascii="Calibri" w:hAnsi="Calibri"/>
          <w:b/>
          <w:sz w:val="24"/>
        </w:rPr>
        <w:t>k) požadavky na maximální dočasné a trvalé zábory zemědělského půdního fondu nebo pozemků určených k plnění funkce lesa</w:t>
      </w:r>
    </w:p>
    <w:p w14:paraId="72B2499B" w14:textId="77777777" w:rsidR="00331365" w:rsidRDefault="00331365" w:rsidP="00331365">
      <w:pPr>
        <w:jc w:val="both"/>
        <w:rPr>
          <w:rFonts w:ascii="Calibri" w:hAnsi="Calibri"/>
          <w:sz w:val="24"/>
        </w:rPr>
      </w:pPr>
      <w:r w:rsidRPr="00F1511C">
        <w:rPr>
          <w:rFonts w:ascii="Calibri" w:hAnsi="Calibri"/>
          <w:sz w:val="24"/>
        </w:rPr>
        <w:t>Bez požadavků.</w:t>
      </w:r>
    </w:p>
    <w:p w14:paraId="6615120E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51629E58" w14:textId="258F25B9" w:rsidR="00331365" w:rsidRPr="00B1054F" w:rsidRDefault="00331365" w:rsidP="004C29A7">
      <w:pPr>
        <w:spacing w:after="120"/>
        <w:jc w:val="both"/>
        <w:rPr>
          <w:rFonts w:ascii="Calibri" w:hAnsi="Calibri" w:cs="Calibri"/>
          <w:b/>
          <w:sz w:val="24"/>
        </w:rPr>
      </w:pPr>
      <w:r w:rsidRPr="00B1054F">
        <w:rPr>
          <w:rFonts w:ascii="Calibri" w:hAnsi="Calibri" w:cs="Calibri"/>
          <w:b/>
          <w:sz w:val="24"/>
        </w:rPr>
        <w:t xml:space="preserve">l) územně technické </w:t>
      </w:r>
      <w:r w:rsidR="004C29A7" w:rsidRPr="00B1054F">
        <w:rPr>
          <w:rFonts w:ascii="Calibri" w:hAnsi="Calibri" w:cs="Calibri"/>
          <w:b/>
          <w:sz w:val="24"/>
        </w:rPr>
        <w:t>podmínky – zejména</w:t>
      </w:r>
      <w:r w:rsidRPr="00B1054F">
        <w:rPr>
          <w:rFonts w:ascii="Calibri" w:hAnsi="Calibri" w:cs="Calibri"/>
          <w:b/>
          <w:sz w:val="24"/>
        </w:rPr>
        <w:t xml:space="preserve"> možnost napojení na stávající dopravní a technickou infrastrukturu, možnost bezbariérového přístupu k navrhované stavbě</w:t>
      </w:r>
    </w:p>
    <w:p w14:paraId="4F616817" w14:textId="2B5B5094" w:rsidR="00331365" w:rsidRPr="0026688C" w:rsidRDefault="001437E0" w:rsidP="00331365">
      <w:pPr>
        <w:widowControl/>
        <w:autoSpaceDE w:val="0"/>
        <w:jc w:val="both"/>
        <w:rPr>
          <w:rFonts w:ascii="Calibri" w:hAnsi="Calibri"/>
          <w:sz w:val="24"/>
        </w:rPr>
      </w:pPr>
      <w:r w:rsidRPr="0026688C">
        <w:rPr>
          <w:rFonts w:ascii="Calibri" w:hAnsi="Calibri"/>
          <w:sz w:val="24"/>
        </w:rPr>
        <w:t>O</w:t>
      </w:r>
      <w:r w:rsidR="00331365" w:rsidRPr="0026688C">
        <w:rPr>
          <w:rFonts w:ascii="Calibri" w:hAnsi="Calibri"/>
          <w:sz w:val="24"/>
        </w:rPr>
        <w:t>bjekt je napojen na stávající technickou infrastrukturu stávajícími přípojkami, stavebními úpravami nebudou přípojky dotčeny, dopravně je objekt napojen</w:t>
      </w:r>
      <w:r w:rsidR="004C29A7" w:rsidRPr="0026688C">
        <w:rPr>
          <w:rFonts w:ascii="Calibri" w:hAnsi="Calibri"/>
          <w:sz w:val="24"/>
        </w:rPr>
        <w:t>ý</w:t>
      </w:r>
      <w:r w:rsidR="00331365" w:rsidRPr="0026688C">
        <w:rPr>
          <w:rFonts w:ascii="Calibri" w:hAnsi="Calibri"/>
          <w:sz w:val="24"/>
        </w:rPr>
        <w:t xml:space="preserve"> na areálovou komunikaci. Navrženými úpravami nebude dotčeno stávající bezbariérové řešení stavby.</w:t>
      </w:r>
    </w:p>
    <w:p w14:paraId="66E31731" w14:textId="77777777" w:rsidR="00331365" w:rsidRDefault="00331365" w:rsidP="00331365">
      <w:pPr>
        <w:widowControl/>
        <w:autoSpaceDE w:val="0"/>
        <w:jc w:val="both"/>
        <w:rPr>
          <w:rFonts w:ascii="Calibri" w:hAnsi="Calibri"/>
          <w:sz w:val="24"/>
        </w:rPr>
      </w:pPr>
    </w:p>
    <w:p w14:paraId="30FD8EAA" w14:textId="77777777" w:rsidR="00331365" w:rsidRPr="00C46E8E" w:rsidRDefault="00331365" w:rsidP="00F53173">
      <w:pPr>
        <w:widowControl/>
        <w:autoSpaceDE w:val="0"/>
        <w:spacing w:after="120"/>
        <w:jc w:val="both"/>
        <w:rPr>
          <w:rFonts w:ascii="Calibri" w:hAnsi="Calibri"/>
          <w:b/>
          <w:sz w:val="24"/>
        </w:rPr>
      </w:pPr>
      <w:r w:rsidRPr="00C46E8E">
        <w:rPr>
          <w:rFonts w:ascii="Calibri" w:hAnsi="Calibri"/>
          <w:b/>
          <w:sz w:val="24"/>
        </w:rPr>
        <w:t>m) věcné a časové vazby stavby, podmiňující, vyvolané, související investice</w:t>
      </w:r>
    </w:p>
    <w:p w14:paraId="0A56DDC3" w14:textId="5171040F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Sanace vlhkého zdiva stávajícího objektu nemá požadavky na věcné, časové, podmiňující a vyvolané investice</w:t>
      </w:r>
      <w:r w:rsidRPr="00F1511C">
        <w:rPr>
          <w:rFonts w:ascii="Calibri" w:hAnsi="Calibri"/>
          <w:sz w:val="24"/>
        </w:rPr>
        <w:t>.</w:t>
      </w:r>
    </w:p>
    <w:p w14:paraId="418638B0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55399047" w14:textId="77777777" w:rsidR="00331365" w:rsidRDefault="00331365" w:rsidP="00F53173">
      <w:pPr>
        <w:spacing w:after="120"/>
        <w:jc w:val="both"/>
        <w:rPr>
          <w:rFonts w:ascii="Calibri" w:hAnsi="Calibri"/>
          <w:b/>
          <w:sz w:val="24"/>
        </w:rPr>
      </w:pPr>
      <w:r w:rsidRPr="002937E7">
        <w:rPr>
          <w:rFonts w:ascii="Calibri" w:hAnsi="Calibri"/>
          <w:b/>
          <w:sz w:val="24"/>
        </w:rPr>
        <w:t>n) seznam pozemků podle katastru nemovitostí, na kterých se stavba provádí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09"/>
        <w:gridCol w:w="3209"/>
      </w:tblGrid>
      <w:tr w:rsidR="000B160D" w14:paraId="362B5CB9" w14:textId="77777777" w:rsidTr="004F160F">
        <w:tc>
          <w:tcPr>
            <w:tcW w:w="3209" w:type="dxa"/>
          </w:tcPr>
          <w:p w14:paraId="1811479A" w14:textId="4F9DF25A" w:rsidR="000B160D" w:rsidRDefault="000B160D" w:rsidP="00331365">
            <w:pPr>
              <w:jc w:val="both"/>
              <w:rPr>
                <w:rFonts w:ascii="Calibri" w:hAnsi="Calibri"/>
                <w:bCs/>
                <w:sz w:val="24"/>
              </w:rPr>
            </w:pPr>
            <w:proofErr w:type="spellStart"/>
            <w:r>
              <w:rPr>
                <w:rFonts w:ascii="Calibri" w:hAnsi="Calibri"/>
                <w:bCs/>
                <w:sz w:val="24"/>
              </w:rPr>
              <w:t>parc</w:t>
            </w:r>
            <w:proofErr w:type="spellEnd"/>
            <w:r>
              <w:rPr>
                <w:rFonts w:ascii="Calibri" w:hAnsi="Calibri"/>
                <w:bCs/>
                <w:sz w:val="24"/>
              </w:rPr>
              <w:t xml:space="preserve">. č. </w:t>
            </w:r>
          </w:p>
        </w:tc>
        <w:tc>
          <w:tcPr>
            <w:tcW w:w="3209" w:type="dxa"/>
          </w:tcPr>
          <w:p w14:paraId="69F49E08" w14:textId="4B9DAC64" w:rsidR="000B160D" w:rsidRDefault="000B160D" w:rsidP="00331365">
            <w:pPr>
              <w:jc w:val="both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druh pozemku</w:t>
            </w:r>
          </w:p>
        </w:tc>
      </w:tr>
      <w:tr w:rsidR="000B160D" w14:paraId="63596CBB" w14:textId="77777777" w:rsidTr="004F160F">
        <w:tc>
          <w:tcPr>
            <w:tcW w:w="3209" w:type="dxa"/>
          </w:tcPr>
          <w:p w14:paraId="38910724" w14:textId="4145D33C" w:rsidR="000B160D" w:rsidRDefault="000B160D" w:rsidP="00331365">
            <w:pPr>
              <w:jc w:val="both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56/1</w:t>
            </w:r>
          </w:p>
        </w:tc>
        <w:tc>
          <w:tcPr>
            <w:tcW w:w="3209" w:type="dxa"/>
          </w:tcPr>
          <w:p w14:paraId="2ECBB311" w14:textId="2B80DC33" w:rsidR="000B160D" w:rsidRDefault="000B160D" w:rsidP="00331365">
            <w:pPr>
              <w:jc w:val="both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zastavěná plocha a nádvoří</w:t>
            </w:r>
          </w:p>
        </w:tc>
      </w:tr>
      <w:tr w:rsidR="000B160D" w14:paraId="592C80D3" w14:textId="77777777" w:rsidTr="004F160F">
        <w:tc>
          <w:tcPr>
            <w:tcW w:w="3209" w:type="dxa"/>
          </w:tcPr>
          <w:p w14:paraId="78AD3758" w14:textId="040073DA" w:rsidR="000B160D" w:rsidRDefault="000B160D" w:rsidP="00331365">
            <w:pPr>
              <w:jc w:val="both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56/3</w:t>
            </w:r>
          </w:p>
        </w:tc>
        <w:tc>
          <w:tcPr>
            <w:tcW w:w="3209" w:type="dxa"/>
          </w:tcPr>
          <w:p w14:paraId="28311D03" w14:textId="649794B8" w:rsidR="000B160D" w:rsidRDefault="000B160D" w:rsidP="00331365">
            <w:pPr>
              <w:jc w:val="both"/>
              <w:rPr>
                <w:rFonts w:ascii="Calibri" w:hAnsi="Calibri"/>
                <w:bCs/>
                <w:sz w:val="24"/>
              </w:rPr>
            </w:pPr>
            <w:r>
              <w:rPr>
                <w:rFonts w:ascii="Calibri" w:hAnsi="Calibri"/>
                <w:bCs/>
                <w:sz w:val="24"/>
              </w:rPr>
              <w:t>ostatní plocha</w:t>
            </w:r>
          </w:p>
        </w:tc>
      </w:tr>
    </w:tbl>
    <w:p w14:paraId="03148457" w14:textId="77777777" w:rsidR="004F160F" w:rsidRDefault="004F160F" w:rsidP="00331365">
      <w:pPr>
        <w:jc w:val="both"/>
        <w:rPr>
          <w:rFonts w:ascii="Calibri" w:hAnsi="Calibri"/>
          <w:bCs/>
          <w:sz w:val="24"/>
        </w:rPr>
      </w:pPr>
    </w:p>
    <w:p w14:paraId="1DCA8FC9" w14:textId="77777777" w:rsidR="00331365" w:rsidRDefault="00331365" w:rsidP="008D1880">
      <w:pPr>
        <w:spacing w:after="120"/>
        <w:jc w:val="both"/>
        <w:rPr>
          <w:rFonts w:ascii="Calibri" w:hAnsi="Calibri"/>
          <w:b/>
          <w:sz w:val="24"/>
        </w:rPr>
      </w:pPr>
      <w:r w:rsidRPr="00781F52">
        <w:rPr>
          <w:rFonts w:ascii="Calibri" w:hAnsi="Calibri"/>
          <w:b/>
          <w:sz w:val="24"/>
        </w:rPr>
        <w:t>o) seznam pozemků podle katastru nemovitostí, na kterých vznikne o</w:t>
      </w:r>
      <w:r>
        <w:rPr>
          <w:rFonts w:ascii="Calibri" w:hAnsi="Calibri"/>
          <w:b/>
          <w:sz w:val="24"/>
        </w:rPr>
        <w:t>chranné nebo bezpečnostní pásmo</w:t>
      </w:r>
    </w:p>
    <w:p w14:paraId="7EFAD41A" w14:textId="24C3B263" w:rsidR="00331365" w:rsidRPr="000B160D" w:rsidRDefault="00331365" w:rsidP="00331365">
      <w:pPr>
        <w:jc w:val="both"/>
        <w:rPr>
          <w:rFonts w:ascii="Calibri" w:hAnsi="Calibri"/>
          <w:sz w:val="24"/>
        </w:rPr>
      </w:pPr>
      <w:r w:rsidRPr="000B160D">
        <w:rPr>
          <w:rFonts w:ascii="Calibri" w:hAnsi="Calibri"/>
          <w:sz w:val="24"/>
        </w:rPr>
        <w:t>Nejsou navrženy žádné další pozemky, kde by vznikl</w:t>
      </w:r>
      <w:r w:rsidR="000B160D" w:rsidRPr="000B160D">
        <w:rPr>
          <w:rFonts w:ascii="Calibri" w:hAnsi="Calibri"/>
          <w:sz w:val="24"/>
        </w:rPr>
        <w:t>a</w:t>
      </w:r>
      <w:r w:rsidRPr="000B160D">
        <w:rPr>
          <w:rFonts w:ascii="Calibri" w:hAnsi="Calibri"/>
          <w:sz w:val="24"/>
        </w:rPr>
        <w:t xml:space="preserve"> ochranná či bezpečnostní pásma. Veškeré úpravy pro sanaci vlhkého zdiva se provádí výhradně na stávajícím objektu</w:t>
      </w:r>
      <w:r w:rsidR="000B160D">
        <w:rPr>
          <w:rFonts w:ascii="Calibri" w:hAnsi="Calibri"/>
          <w:sz w:val="24"/>
        </w:rPr>
        <w:t xml:space="preserve"> a v jeho bezprostředním okolí</w:t>
      </w:r>
      <w:r w:rsidRPr="000B160D">
        <w:rPr>
          <w:rFonts w:ascii="Calibri" w:hAnsi="Calibri"/>
          <w:sz w:val="24"/>
        </w:rPr>
        <w:t>.</w:t>
      </w:r>
    </w:p>
    <w:p w14:paraId="77A7F196" w14:textId="77777777" w:rsidR="00331365" w:rsidRPr="00F1511C" w:rsidRDefault="00331365" w:rsidP="00331365">
      <w:pPr>
        <w:pStyle w:val="Nadpis3"/>
        <w:rPr>
          <w:rFonts w:ascii="Calibri" w:hAnsi="Calibri"/>
          <w:sz w:val="24"/>
        </w:rPr>
      </w:pPr>
      <w:r w:rsidRPr="00F1511C">
        <w:rPr>
          <w:rFonts w:ascii="Calibri" w:hAnsi="Calibri"/>
          <w:sz w:val="24"/>
        </w:rPr>
        <w:t>B.2</w:t>
      </w:r>
      <w:r w:rsidRPr="00F1511C">
        <w:rPr>
          <w:rFonts w:ascii="Calibri" w:hAnsi="Calibri"/>
          <w:sz w:val="24"/>
        </w:rPr>
        <w:tab/>
        <w:t>Celkový popis stavby</w:t>
      </w:r>
    </w:p>
    <w:p w14:paraId="7A2F4690" w14:textId="77777777" w:rsidR="00331365" w:rsidRDefault="00331365" w:rsidP="00331365"/>
    <w:p w14:paraId="02B2FB1A" w14:textId="77777777" w:rsidR="00331365" w:rsidRPr="00B1054F" w:rsidRDefault="00331365" w:rsidP="00F53173">
      <w:pPr>
        <w:spacing w:after="120"/>
        <w:rPr>
          <w:rFonts w:ascii="Calibri" w:hAnsi="Calibri" w:cs="Calibri"/>
          <w:b/>
          <w:sz w:val="24"/>
        </w:rPr>
      </w:pPr>
      <w:r w:rsidRPr="00B1054F">
        <w:rPr>
          <w:rFonts w:ascii="Calibri" w:hAnsi="Calibri" w:cs="Calibri"/>
          <w:b/>
          <w:sz w:val="24"/>
        </w:rPr>
        <w:t xml:space="preserve">a) nová stavba nebo změna dokončené stavby; u změny stavby údaje o jejich současném stavu, závěry stavebně technického, případně stavebně historického průzkumu a výsledky statického </w:t>
      </w:r>
      <w:r w:rsidRPr="00B1054F">
        <w:rPr>
          <w:rFonts w:ascii="Calibri" w:hAnsi="Calibri" w:cs="Calibri"/>
          <w:b/>
          <w:sz w:val="24"/>
        </w:rPr>
        <w:lastRenderedPageBreak/>
        <w:t>posouzení nosných konstrukcí</w:t>
      </w:r>
    </w:p>
    <w:p w14:paraId="4F70FD2F" w14:textId="28B7643E" w:rsidR="00900F6A" w:rsidRDefault="00900F6A" w:rsidP="00331365">
      <w:pPr>
        <w:widowControl/>
        <w:autoSpaceDE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Jedná se o změnu dokončené stavby.</w:t>
      </w:r>
    </w:p>
    <w:p w14:paraId="230EE0C4" w14:textId="77777777" w:rsidR="00900F6A" w:rsidRDefault="00900F6A" w:rsidP="00331365">
      <w:pPr>
        <w:widowControl/>
        <w:autoSpaceDE w:val="0"/>
        <w:jc w:val="both"/>
        <w:rPr>
          <w:rFonts w:ascii="Calibri" w:hAnsi="Calibri"/>
          <w:sz w:val="24"/>
        </w:rPr>
      </w:pPr>
    </w:p>
    <w:p w14:paraId="20420E2A" w14:textId="77777777" w:rsidR="00331365" w:rsidRPr="001F6A9B" w:rsidRDefault="00331365" w:rsidP="008D3582">
      <w:pPr>
        <w:widowControl/>
        <w:autoSpaceDE w:val="0"/>
        <w:spacing w:after="120"/>
        <w:jc w:val="both"/>
        <w:rPr>
          <w:rFonts w:ascii="Calibri" w:hAnsi="Calibri"/>
          <w:b/>
          <w:sz w:val="24"/>
        </w:rPr>
      </w:pPr>
      <w:r w:rsidRPr="001F6A9B">
        <w:rPr>
          <w:rFonts w:ascii="Calibri" w:hAnsi="Calibri"/>
          <w:b/>
          <w:sz w:val="24"/>
        </w:rPr>
        <w:t>b) účel užívání stavby</w:t>
      </w:r>
    </w:p>
    <w:p w14:paraId="23ACAF01" w14:textId="2A5C4775" w:rsidR="0003645B" w:rsidRDefault="0003645B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Budova Mendelovy univerzity je určena ke vzdělávání. Prováděnou sanací zdiva proti vlhkosti se její účel nezmění.</w:t>
      </w:r>
    </w:p>
    <w:p w14:paraId="4CE502BF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08A72525" w14:textId="77777777" w:rsidR="00331365" w:rsidRPr="002A445B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2A445B">
        <w:rPr>
          <w:rFonts w:ascii="Calibri" w:hAnsi="Calibri"/>
          <w:b/>
          <w:sz w:val="24"/>
        </w:rPr>
        <w:t>c) trvalá nebo dočasná stavba</w:t>
      </w:r>
    </w:p>
    <w:p w14:paraId="0F48A20F" w14:textId="77777777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Jedná se o trvalou stavbu.</w:t>
      </w:r>
    </w:p>
    <w:p w14:paraId="707DD3F7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2639A59D" w14:textId="77777777" w:rsidR="00331365" w:rsidRPr="002A445B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2A445B">
        <w:rPr>
          <w:rFonts w:ascii="Calibri" w:hAnsi="Calibri"/>
          <w:b/>
          <w:sz w:val="24"/>
        </w:rPr>
        <w:t>d) informace o vydaných rozhodnutích o povolení výjimky z technických požadavků na stavby a technických požadavků zabezpečujících bezbariérové užívání stavby</w:t>
      </w:r>
    </w:p>
    <w:p w14:paraId="0C934DAF" w14:textId="77777777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Zpracovateli projektové dokumentace nejsou známy vydaná rozhodnutí o povolení výjimky z technických požadavků na stavby a technických požadavků zabezpečující bezbariérové užívání stavby. Sanací vlhkého zdiva nebude nijak ovlivněno stávající bezbariérové řešení staveb.</w:t>
      </w:r>
    </w:p>
    <w:p w14:paraId="0A17D74B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4FAB0BDF" w14:textId="77777777" w:rsidR="00331365" w:rsidRPr="006201F3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6201F3">
        <w:rPr>
          <w:rFonts w:ascii="Calibri" w:hAnsi="Calibri"/>
          <w:b/>
          <w:sz w:val="24"/>
        </w:rPr>
        <w:t>e) informace o tom, zda a v jakých částech dokumentace jsou zohledněny podmínky závazných stanovisek dotčených orgánů</w:t>
      </w:r>
    </w:p>
    <w:p w14:paraId="2E10F489" w14:textId="77777777" w:rsidR="006201F3" w:rsidRPr="006201F3" w:rsidRDefault="006201F3" w:rsidP="006201F3">
      <w:pPr>
        <w:jc w:val="both"/>
        <w:rPr>
          <w:rFonts w:ascii="Calibri" w:hAnsi="Calibri"/>
          <w:sz w:val="24"/>
        </w:rPr>
      </w:pPr>
      <w:r w:rsidRPr="006201F3">
        <w:rPr>
          <w:rFonts w:ascii="Calibri" w:hAnsi="Calibri"/>
          <w:sz w:val="24"/>
        </w:rPr>
        <w:t>Bez požadavků.</w:t>
      </w:r>
    </w:p>
    <w:p w14:paraId="635C29E8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61C09EB1" w14:textId="77777777" w:rsidR="00331365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08608A">
        <w:rPr>
          <w:rFonts w:ascii="Calibri" w:hAnsi="Calibri"/>
          <w:b/>
          <w:sz w:val="24"/>
        </w:rPr>
        <w:t>f) ochrana stavby podle jiných právních předpisů</w:t>
      </w:r>
    </w:p>
    <w:p w14:paraId="3594DE58" w14:textId="5B81FDE4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Nedojde k zásahu do veřejných ploch. Veškeré práce budou prováděny uvnitř areálu investora.</w:t>
      </w:r>
      <w:r w:rsidRPr="00F1511C">
        <w:rPr>
          <w:rFonts w:ascii="Calibri" w:hAnsi="Calibri"/>
          <w:sz w:val="24"/>
        </w:rPr>
        <w:t xml:space="preserve"> </w:t>
      </w:r>
    </w:p>
    <w:p w14:paraId="2B229AFB" w14:textId="77777777" w:rsidR="00331365" w:rsidRDefault="00331365" w:rsidP="00331365">
      <w:pPr>
        <w:jc w:val="both"/>
        <w:rPr>
          <w:rFonts w:ascii="Calibri" w:hAnsi="Calibri"/>
          <w:b/>
          <w:sz w:val="24"/>
        </w:rPr>
      </w:pPr>
    </w:p>
    <w:p w14:paraId="69A04DD2" w14:textId="78432BE6" w:rsidR="00331365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AF17A3">
        <w:rPr>
          <w:rFonts w:ascii="Calibri" w:hAnsi="Calibri"/>
          <w:b/>
          <w:sz w:val="24"/>
        </w:rPr>
        <w:t xml:space="preserve">g) navrhované parametry </w:t>
      </w:r>
      <w:r w:rsidR="008D3582" w:rsidRPr="00AF17A3">
        <w:rPr>
          <w:rFonts w:ascii="Calibri" w:hAnsi="Calibri"/>
          <w:b/>
          <w:sz w:val="24"/>
        </w:rPr>
        <w:t>stavby – zastavěná</w:t>
      </w:r>
      <w:r w:rsidRPr="00AF17A3">
        <w:rPr>
          <w:rFonts w:ascii="Calibri" w:hAnsi="Calibri"/>
          <w:b/>
          <w:sz w:val="24"/>
        </w:rPr>
        <w:t xml:space="preserve"> plocha, obestavěný prostor, užitná plocha, počet funkčních je</w:t>
      </w:r>
      <w:r>
        <w:rPr>
          <w:rFonts w:ascii="Calibri" w:hAnsi="Calibri"/>
          <w:b/>
          <w:sz w:val="24"/>
        </w:rPr>
        <w:t>dnotek a jejich velikosti apod.</w:t>
      </w:r>
    </w:p>
    <w:p w14:paraId="45D66BCC" w14:textId="606567BA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Jedná se o sanaci vlhkého zdiva stávajícího objektu. Nedochází ke změně zastavěné plochy, obestavěného prostoru, užitné plochy, počtu </w:t>
      </w:r>
      <w:r w:rsidR="001C251E">
        <w:rPr>
          <w:rFonts w:ascii="Calibri" w:hAnsi="Calibri"/>
          <w:sz w:val="24"/>
        </w:rPr>
        <w:t>místností</w:t>
      </w:r>
      <w:r>
        <w:rPr>
          <w:rFonts w:ascii="Calibri" w:hAnsi="Calibri"/>
          <w:sz w:val="24"/>
        </w:rPr>
        <w:t xml:space="preserve"> ani jejich velikosti.</w:t>
      </w:r>
    </w:p>
    <w:p w14:paraId="4DF24A46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63183F1C" w14:textId="0AA5C27E" w:rsidR="00331365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59497F">
        <w:rPr>
          <w:rFonts w:ascii="Calibri" w:hAnsi="Calibri"/>
          <w:b/>
          <w:sz w:val="24"/>
        </w:rPr>
        <w:t xml:space="preserve">h) základní bilance </w:t>
      </w:r>
      <w:r w:rsidR="008D3582" w:rsidRPr="0059497F">
        <w:rPr>
          <w:rFonts w:ascii="Calibri" w:hAnsi="Calibri"/>
          <w:b/>
          <w:sz w:val="24"/>
        </w:rPr>
        <w:t>stavby – potřeby</w:t>
      </w:r>
      <w:r w:rsidRPr="0059497F">
        <w:rPr>
          <w:rFonts w:ascii="Calibri" w:hAnsi="Calibri"/>
          <w:b/>
          <w:sz w:val="24"/>
        </w:rPr>
        <w:t xml:space="preserve"> a spotřeby médií a hmot, hospodaření s dešťovou vodou, celkové produkované množství a druhy odpadů a emisí, třída energetické náročnosti budov apod.</w:t>
      </w:r>
    </w:p>
    <w:p w14:paraId="343A13A7" w14:textId="77777777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Sanací vlhkého zdiva stávajícího objektu nedojde ke změně základních stávajících bilancí stavby. Nedochází ani ke změně třídy energetické náročnosti budovy.</w:t>
      </w:r>
    </w:p>
    <w:p w14:paraId="3310B886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2383B1C4" w14:textId="020D3769" w:rsidR="00331365" w:rsidRPr="00170E6E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170E6E">
        <w:rPr>
          <w:rFonts w:ascii="Calibri" w:hAnsi="Calibri"/>
          <w:b/>
          <w:sz w:val="24"/>
        </w:rPr>
        <w:t xml:space="preserve">i) základní předpoklady </w:t>
      </w:r>
      <w:r w:rsidR="008D3582" w:rsidRPr="00170E6E">
        <w:rPr>
          <w:rFonts w:ascii="Calibri" w:hAnsi="Calibri"/>
          <w:b/>
          <w:sz w:val="24"/>
        </w:rPr>
        <w:t>výstavby – časové</w:t>
      </w:r>
      <w:r w:rsidRPr="00170E6E">
        <w:rPr>
          <w:rFonts w:ascii="Calibri" w:hAnsi="Calibri"/>
          <w:b/>
          <w:sz w:val="24"/>
        </w:rPr>
        <w:t xml:space="preserve"> údaje o realizaci stavby, členění na etapy</w:t>
      </w:r>
    </w:p>
    <w:p w14:paraId="0E4771D1" w14:textId="4EEF1729" w:rsidR="00331365" w:rsidRPr="00BB6014" w:rsidRDefault="00331365" w:rsidP="00331365">
      <w:pPr>
        <w:jc w:val="both"/>
        <w:rPr>
          <w:rFonts w:ascii="Calibri" w:hAnsi="Calibri"/>
          <w:sz w:val="24"/>
        </w:rPr>
      </w:pPr>
      <w:r w:rsidRPr="00BB6014">
        <w:rPr>
          <w:rFonts w:ascii="Calibri" w:hAnsi="Calibri"/>
          <w:sz w:val="24"/>
        </w:rPr>
        <w:t xml:space="preserve">Zahájení </w:t>
      </w:r>
      <w:r>
        <w:rPr>
          <w:rFonts w:ascii="Calibri" w:hAnsi="Calibri"/>
          <w:sz w:val="24"/>
        </w:rPr>
        <w:t>sanace vlhkého zdiva</w:t>
      </w:r>
      <w:r w:rsidRPr="00BB6014">
        <w:rPr>
          <w:rFonts w:ascii="Calibri" w:hAnsi="Calibri"/>
          <w:sz w:val="24"/>
        </w:rPr>
        <w:t xml:space="preserve"> se předpokládá v </w:t>
      </w:r>
      <w:r>
        <w:rPr>
          <w:rFonts w:ascii="Calibri" w:hAnsi="Calibri"/>
          <w:sz w:val="24"/>
        </w:rPr>
        <w:t>roce 202</w:t>
      </w:r>
      <w:r w:rsidR="009C00C5">
        <w:rPr>
          <w:rFonts w:ascii="Calibri" w:hAnsi="Calibri"/>
          <w:sz w:val="24"/>
        </w:rPr>
        <w:t>3</w:t>
      </w:r>
      <w:r>
        <w:rPr>
          <w:rFonts w:ascii="Calibri" w:hAnsi="Calibri"/>
          <w:sz w:val="24"/>
        </w:rPr>
        <w:t>.</w:t>
      </w:r>
    </w:p>
    <w:p w14:paraId="65E60895" w14:textId="77777777" w:rsidR="00331365" w:rsidRDefault="00331365" w:rsidP="00331365">
      <w:pPr>
        <w:jc w:val="both"/>
        <w:rPr>
          <w:rFonts w:ascii="Calibri" w:hAnsi="Calibri"/>
          <w:sz w:val="24"/>
        </w:rPr>
      </w:pPr>
    </w:p>
    <w:p w14:paraId="44E43C08" w14:textId="77777777" w:rsidR="00331365" w:rsidRDefault="00331365" w:rsidP="008D3582">
      <w:pPr>
        <w:spacing w:after="120"/>
        <w:jc w:val="both"/>
        <w:rPr>
          <w:rFonts w:ascii="Calibri" w:hAnsi="Calibri"/>
          <w:b/>
          <w:sz w:val="24"/>
        </w:rPr>
      </w:pPr>
      <w:r w:rsidRPr="00DF1293">
        <w:rPr>
          <w:rFonts w:ascii="Calibri" w:hAnsi="Calibri"/>
          <w:b/>
          <w:sz w:val="24"/>
        </w:rPr>
        <w:t>j) orientační náklady stavby</w:t>
      </w:r>
    </w:p>
    <w:p w14:paraId="02DFDB12" w14:textId="24AB9D83" w:rsidR="00331365" w:rsidRDefault="00331365" w:rsidP="00331365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Náklady na sanaci vlhkého zdiva jsou odhadovány na: </w:t>
      </w:r>
      <w:r w:rsidR="002D66E0">
        <w:rPr>
          <w:rFonts w:ascii="Calibri" w:hAnsi="Calibri"/>
          <w:sz w:val="24"/>
        </w:rPr>
        <w:t xml:space="preserve">cca </w:t>
      </w:r>
      <w:r w:rsidRPr="00F81C85">
        <w:rPr>
          <w:rFonts w:ascii="Calibri" w:hAnsi="Calibri"/>
          <w:sz w:val="24"/>
        </w:rPr>
        <w:t>1</w:t>
      </w:r>
      <w:r w:rsidR="002D66E0">
        <w:rPr>
          <w:rFonts w:ascii="Calibri" w:hAnsi="Calibri"/>
          <w:sz w:val="24"/>
        </w:rPr>
        <w:t>,9</w:t>
      </w:r>
      <w:r w:rsidRPr="00F81C85">
        <w:rPr>
          <w:rFonts w:ascii="Calibri" w:hAnsi="Calibri"/>
          <w:sz w:val="24"/>
        </w:rPr>
        <w:t xml:space="preserve"> mil. Kč</w:t>
      </w:r>
      <w:r w:rsidR="000F3664">
        <w:rPr>
          <w:rFonts w:ascii="Calibri" w:hAnsi="Calibri"/>
          <w:sz w:val="24"/>
        </w:rPr>
        <w:t xml:space="preserve"> (bez DPH).</w:t>
      </w:r>
    </w:p>
    <w:sectPr w:rsidR="00331365" w:rsidSect="00A85D18">
      <w:headerReference w:type="default" r:id="rId11"/>
      <w:footerReference w:type="default" r:id="rId12"/>
      <w:type w:val="continuous"/>
      <w:pgSz w:w="11905" w:h="16837"/>
      <w:pgMar w:top="1749" w:right="1134" w:bottom="1659" w:left="1134" w:header="1134" w:footer="113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6319C" w14:textId="77777777" w:rsidR="00D25029" w:rsidRDefault="00D25029" w:rsidP="00D25029">
      <w:r>
        <w:separator/>
      </w:r>
    </w:p>
  </w:endnote>
  <w:endnote w:type="continuationSeparator" w:id="0">
    <w:p w14:paraId="6C62E816" w14:textId="77777777" w:rsidR="00D25029" w:rsidRDefault="00D25029" w:rsidP="00D2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7BE10" w14:textId="77777777" w:rsidR="00055672" w:rsidRDefault="000B160D">
    <w:pPr>
      <w:pStyle w:val="Zpat"/>
      <w:jc w:val="center"/>
    </w:pPr>
    <w:r>
      <w:fldChar w:fldCharType="begin"/>
    </w:r>
    <w:r>
      <w:instrText>\page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858B" w14:textId="77777777" w:rsidR="00055672" w:rsidRDefault="000B160D">
    <w:pPr>
      <w:pStyle w:val="Zpat"/>
      <w:jc w:val="center"/>
    </w:pPr>
    <w:r>
      <w:fldChar w:fldCharType="begin"/>
    </w:r>
    <w:r>
      <w:instrText>\page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2BCE" w14:textId="77777777" w:rsidR="00D25029" w:rsidRDefault="00D25029" w:rsidP="00D25029">
      <w:r>
        <w:separator/>
      </w:r>
    </w:p>
  </w:footnote>
  <w:footnote w:type="continuationSeparator" w:id="0">
    <w:p w14:paraId="4326490F" w14:textId="77777777" w:rsidR="00D25029" w:rsidRDefault="00D25029" w:rsidP="00D25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2527" w14:textId="77777777" w:rsidR="00FB30DC" w:rsidRPr="00FF2E46" w:rsidRDefault="000B160D" w:rsidP="00FB30DC">
    <w:pPr>
      <w:pStyle w:val="Zhlav"/>
      <w:pBdr>
        <w:bottom w:val="single" w:sz="4" w:space="1" w:color="auto"/>
      </w:pBdr>
      <w:jc w:val="center"/>
    </w:pPr>
    <w:r w:rsidRPr="00FF2E46">
      <w:rPr>
        <w:rFonts w:ascii="Calibri" w:hAnsi="Calibri"/>
        <w:szCs w:val="20"/>
      </w:rPr>
      <w:t xml:space="preserve">SANACE VLHKÉHO ZDIVA </w:t>
    </w:r>
    <w:r>
      <w:rPr>
        <w:rFonts w:ascii="Calibri" w:hAnsi="Calibri"/>
        <w:szCs w:val="20"/>
      </w:rPr>
      <w:t xml:space="preserve">- </w:t>
    </w:r>
    <w:r w:rsidRPr="00AD4D5C">
      <w:rPr>
        <w:rFonts w:ascii="Calibri" w:hAnsi="Calibri"/>
        <w:szCs w:val="20"/>
      </w:rPr>
      <w:t>BÝVALÉ SVATOMIKULÁŠSKÉ LÁZNĚ, VRACLAV</w:t>
    </w:r>
  </w:p>
  <w:p w14:paraId="6C063F54" w14:textId="77777777" w:rsidR="00055672" w:rsidRPr="00FB30DC" w:rsidRDefault="00977A7E" w:rsidP="00FB30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F822" w14:textId="77777777" w:rsidR="00D25029" w:rsidRPr="00FF2E46" w:rsidRDefault="00D25029" w:rsidP="00D25029">
    <w:pPr>
      <w:pStyle w:val="Zhlav"/>
      <w:pBdr>
        <w:bottom w:val="single" w:sz="4" w:space="1" w:color="auto"/>
      </w:pBdr>
      <w:jc w:val="center"/>
    </w:pPr>
    <w:r w:rsidRPr="00FF2E46">
      <w:rPr>
        <w:rFonts w:ascii="Calibri" w:hAnsi="Calibri"/>
        <w:szCs w:val="20"/>
      </w:rPr>
      <w:t xml:space="preserve">SANACE VLHKÉHO ZDIVA </w:t>
    </w:r>
    <w:r>
      <w:rPr>
        <w:rFonts w:ascii="Calibri" w:hAnsi="Calibri"/>
        <w:szCs w:val="20"/>
      </w:rPr>
      <w:t>– DŘEVAŘSKÝ PAVILÓN – BUDOVA „T“, MENDELOVA UNIVERZITA V BRNĚ</w:t>
    </w:r>
  </w:p>
  <w:p w14:paraId="1F07C824" w14:textId="77777777" w:rsidR="00055672" w:rsidRDefault="00977A7E" w:rsidP="00D3508A">
    <w:pPr>
      <w:pStyle w:val="Zhlav"/>
    </w:pPr>
  </w:p>
  <w:p w14:paraId="0895C7FA" w14:textId="77777777" w:rsidR="00FB30DC" w:rsidRPr="00D3508A" w:rsidRDefault="00977A7E" w:rsidP="00D350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080" w:hanging="360"/>
      </w:pPr>
      <w:rPr>
        <w:rFonts w:ascii="StarSymbol" w:hAnsi="StarSymbol"/>
        <w:sz w:val="18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StarSymbol" w:hAnsi="StarSymbol"/>
        <w:sz w:val="18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StarSymbol" w:hAnsi="StarSymbol"/>
        <w:sz w:val="18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 w15:restartNumberingAfterBreak="0">
    <w:nsid w:val="033D583C"/>
    <w:multiLevelType w:val="hybridMultilevel"/>
    <w:tmpl w:val="2B223720"/>
    <w:lvl w:ilvl="0" w:tplc="5068FFE6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BB7893"/>
    <w:multiLevelType w:val="hybridMultilevel"/>
    <w:tmpl w:val="AA6678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4032D"/>
    <w:multiLevelType w:val="hybridMultilevel"/>
    <w:tmpl w:val="AE6E2564"/>
    <w:lvl w:ilvl="0" w:tplc="08142EB0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/>
      </w:rPr>
    </w:lvl>
    <w:lvl w:ilvl="1" w:tplc="9022CA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9B4C16A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807F7"/>
    <w:multiLevelType w:val="hybridMultilevel"/>
    <w:tmpl w:val="0C94FA88"/>
    <w:lvl w:ilvl="0" w:tplc="B686B938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D6D8C"/>
    <w:multiLevelType w:val="hybridMultilevel"/>
    <w:tmpl w:val="AA6678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84EBC"/>
    <w:multiLevelType w:val="hybridMultilevel"/>
    <w:tmpl w:val="3280D10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474690"/>
    <w:multiLevelType w:val="hybridMultilevel"/>
    <w:tmpl w:val="AA6678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A4E0D"/>
    <w:multiLevelType w:val="hybridMultilevel"/>
    <w:tmpl w:val="5664A43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FC6089"/>
    <w:multiLevelType w:val="hybridMultilevel"/>
    <w:tmpl w:val="B04CE9E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0F2033"/>
    <w:multiLevelType w:val="hybridMultilevel"/>
    <w:tmpl w:val="E9202590"/>
    <w:lvl w:ilvl="0" w:tplc="566CF77A">
      <w:start w:val="1"/>
      <w:numFmt w:val="lowerLetter"/>
      <w:lvlText w:val="%1)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F65165"/>
    <w:multiLevelType w:val="hybridMultilevel"/>
    <w:tmpl w:val="C7EEB23C"/>
    <w:lvl w:ilvl="0" w:tplc="A02664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B57009"/>
    <w:multiLevelType w:val="hybridMultilevel"/>
    <w:tmpl w:val="AA6678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10863"/>
    <w:multiLevelType w:val="hybridMultilevel"/>
    <w:tmpl w:val="AA6678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15751"/>
    <w:multiLevelType w:val="hybridMultilevel"/>
    <w:tmpl w:val="6B2E37AE"/>
    <w:lvl w:ilvl="0" w:tplc="8AD4863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41225"/>
    <w:multiLevelType w:val="hybridMultilevel"/>
    <w:tmpl w:val="96E68F32"/>
    <w:lvl w:ilvl="0" w:tplc="FFFFFFFF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CB125F"/>
    <w:multiLevelType w:val="hybridMultilevel"/>
    <w:tmpl w:val="49EEA95A"/>
    <w:lvl w:ilvl="0" w:tplc="8FA29C80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63276A"/>
    <w:multiLevelType w:val="hybridMultilevel"/>
    <w:tmpl w:val="D112189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81D4E"/>
    <w:multiLevelType w:val="hybridMultilevel"/>
    <w:tmpl w:val="86FAC0E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C229B7"/>
    <w:multiLevelType w:val="hybridMultilevel"/>
    <w:tmpl w:val="95323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07068"/>
    <w:multiLevelType w:val="hybridMultilevel"/>
    <w:tmpl w:val="A28C74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05C2D"/>
    <w:multiLevelType w:val="hybridMultilevel"/>
    <w:tmpl w:val="8AAE9D60"/>
    <w:lvl w:ilvl="0" w:tplc="669CFF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4566C"/>
    <w:multiLevelType w:val="hybridMultilevel"/>
    <w:tmpl w:val="3A8A1DE6"/>
    <w:lvl w:ilvl="0" w:tplc="354E50B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A13FF"/>
    <w:multiLevelType w:val="hybridMultilevel"/>
    <w:tmpl w:val="1D5800B4"/>
    <w:lvl w:ilvl="0" w:tplc="7576ACD0">
      <w:start w:val="1"/>
      <w:numFmt w:val="decimal"/>
      <w:lvlText w:val="%1."/>
      <w:lvlJc w:val="left"/>
      <w:pPr>
        <w:ind w:left="11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68BD78A7"/>
    <w:multiLevelType w:val="hybridMultilevel"/>
    <w:tmpl w:val="99D0497A"/>
    <w:lvl w:ilvl="0" w:tplc="4B0CA1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E0971"/>
    <w:multiLevelType w:val="hybridMultilevel"/>
    <w:tmpl w:val="AFE6B9F4"/>
    <w:lvl w:ilvl="0" w:tplc="9384ACEE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573D48"/>
    <w:multiLevelType w:val="hybridMultilevel"/>
    <w:tmpl w:val="1AC448B2"/>
    <w:lvl w:ilvl="0" w:tplc="8A80ECE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05202"/>
    <w:multiLevelType w:val="hybridMultilevel"/>
    <w:tmpl w:val="A4304F2A"/>
    <w:lvl w:ilvl="0" w:tplc="2B98BF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62FDF"/>
    <w:multiLevelType w:val="hybridMultilevel"/>
    <w:tmpl w:val="CBB8EE6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0A49CE"/>
    <w:multiLevelType w:val="hybridMultilevel"/>
    <w:tmpl w:val="AAC84E92"/>
    <w:lvl w:ilvl="0" w:tplc="246245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C7472"/>
    <w:multiLevelType w:val="hybridMultilevel"/>
    <w:tmpl w:val="68BA2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Calibri" w:hAnsi="Calibri" w:cs="Tahoma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D1851"/>
    <w:multiLevelType w:val="hybridMultilevel"/>
    <w:tmpl w:val="B15240C0"/>
    <w:lvl w:ilvl="0" w:tplc="F5C649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10B31"/>
    <w:multiLevelType w:val="hybridMultilevel"/>
    <w:tmpl w:val="4BCA0CD4"/>
    <w:lvl w:ilvl="0" w:tplc="1BE0A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07318">
    <w:abstractNumId w:val="0"/>
  </w:num>
  <w:num w:numId="2" w16cid:durableId="2041663668">
    <w:abstractNumId w:val="1"/>
  </w:num>
  <w:num w:numId="3" w16cid:durableId="1039889965">
    <w:abstractNumId w:val="2"/>
  </w:num>
  <w:num w:numId="4" w16cid:durableId="1967546904">
    <w:abstractNumId w:val="3"/>
  </w:num>
  <w:num w:numId="5" w16cid:durableId="1839077191">
    <w:abstractNumId w:val="4"/>
  </w:num>
  <w:num w:numId="6" w16cid:durableId="691803160">
    <w:abstractNumId w:val="27"/>
  </w:num>
  <w:num w:numId="7" w16cid:durableId="2131895548">
    <w:abstractNumId w:val="18"/>
  </w:num>
  <w:num w:numId="8" w16cid:durableId="496111565">
    <w:abstractNumId w:val="22"/>
  </w:num>
  <w:num w:numId="9" w16cid:durableId="1798644050">
    <w:abstractNumId w:val="10"/>
  </w:num>
  <w:num w:numId="10" w16cid:durableId="2034378909">
    <w:abstractNumId w:val="19"/>
  </w:num>
  <w:num w:numId="11" w16cid:durableId="1288469526">
    <w:abstractNumId w:val="13"/>
  </w:num>
  <w:num w:numId="12" w16cid:durableId="829758426">
    <w:abstractNumId w:val="7"/>
  </w:num>
  <w:num w:numId="13" w16cid:durableId="975525389">
    <w:abstractNumId w:val="26"/>
  </w:num>
  <w:num w:numId="14" w16cid:durableId="1854412444">
    <w:abstractNumId w:val="25"/>
  </w:num>
  <w:num w:numId="15" w16cid:durableId="26608322">
    <w:abstractNumId w:val="8"/>
  </w:num>
  <w:num w:numId="16" w16cid:durableId="1868635832">
    <w:abstractNumId w:val="12"/>
  </w:num>
  <w:num w:numId="17" w16cid:durableId="1063020157">
    <w:abstractNumId w:val="35"/>
  </w:num>
  <w:num w:numId="18" w16cid:durableId="224923626">
    <w:abstractNumId w:val="14"/>
  </w:num>
  <w:num w:numId="19" w16cid:durableId="1014381016">
    <w:abstractNumId w:val="21"/>
  </w:num>
  <w:num w:numId="20" w16cid:durableId="1378776587">
    <w:abstractNumId w:val="5"/>
  </w:num>
  <w:num w:numId="21" w16cid:durableId="1331256141">
    <w:abstractNumId w:val="36"/>
  </w:num>
  <w:num w:numId="22" w16cid:durableId="1651594313">
    <w:abstractNumId w:val="34"/>
  </w:num>
  <w:num w:numId="23" w16cid:durableId="1270043555">
    <w:abstractNumId w:val="23"/>
  </w:num>
  <w:num w:numId="24" w16cid:durableId="1762800709">
    <w:abstractNumId w:val="33"/>
  </w:num>
  <w:num w:numId="25" w16cid:durableId="2090928760">
    <w:abstractNumId w:val="32"/>
  </w:num>
  <w:num w:numId="26" w16cid:durableId="1200512292">
    <w:abstractNumId w:val="28"/>
  </w:num>
  <w:num w:numId="27" w16cid:durableId="2096583699">
    <w:abstractNumId w:val="20"/>
  </w:num>
  <w:num w:numId="28" w16cid:durableId="860628267">
    <w:abstractNumId w:val="16"/>
  </w:num>
  <w:num w:numId="29" w16cid:durableId="201939073">
    <w:abstractNumId w:val="9"/>
  </w:num>
  <w:num w:numId="30" w16cid:durableId="245772150">
    <w:abstractNumId w:val="24"/>
  </w:num>
  <w:num w:numId="31" w16cid:durableId="240798514">
    <w:abstractNumId w:val="17"/>
  </w:num>
  <w:num w:numId="32" w16cid:durableId="341013949">
    <w:abstractNumId w:val="11"/>
  </w:num>
  <w:num w:numId="33" w16cid:durableId="844589945">
    <w:abstractNumId w:val="6"/>
  </w:num>
  <w:num w:numId="34" w16cid:durableId="1377047744">
    <w:abstractNumId w:val="30"/>
  </w:num>
  <w:num w:numId="35" w16cid:durableId="991711012">
    <w:abstractNumId w:val="29"/>
  </w:num>
  <w:num w:numId="36" w16cid:durableId="1325865072">
    <w:abstractNumId w:val="31"/>
  </w:num>
  <w:num w:numId="37" w16cid:durableId="1206714554">
    <w:abstractNumId w:val="15"/>
  </w:num>
  <w:num w:numId="38" w16cid:durableId="8703836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65"/>
    <w:rsid w:val="0003645B"/>
    <w:rsid w:val="000B160D"/>
    <w:rsid w:val="000F3664"/>
    <w:rsid w:val="001437E0"/>
    <w:rsid w:val="001C251E"/>
    <w:rsid w:val="0026688C"/>
    <w:rsid w:val="002A0CF8"/>
    <w:rsid w:val="002D66E0"/>
    <w:rsid w:val="00331365"/>
    <w:rsid w:val="003753D8"/>
    <w:rsid w:val="004407F9"/>
    <w:rsid w:val="004C29A7"/>
    <w:rsid w:val="004F160F"/>
    <w:rsid w:val="005D3131"/>
    <w:rsid w:val="00605751"/>
    <w:rsid w:val="006201F3"/>
    <w:rsid w:val="00672084"/>
    <w:rsid w:val="007F4E60"/>
    <w:rsid w:val="008266D4"/>
    <w:rsid w:val="00876617"/>
    <w:rsid w:val="008A7C04"/>
    <w:rsid w:val="008C6736"/>
    <w:rsid w:val="008D1880"/>
    <w:rsid w:val="008D3582"/>
    <w:rsid w:val="008E6879"/>
    <w:rsid w:val="00900F6A"/>
    <w:rsid w:val="00977A7E"/>
    <w:rsid w:val="00982239"/>
    <w:rsid w:val="009C00C5"/>
    <w:rsid w:val="00A63419"/>
    <w:rsid w:val="00A7073D"/>
    <w:rsid w:val="00AE1A10"/>
    <w:rsid w:val="00B2538C"/>
    <w:rsid w:val="00BD263C"/>
    <w:rsid w:val="00BF5FE3"/>
    <w:rsid w:val="00C72953"/>
    <w:rsid w:val="00C841B3"/>
    <w:rsid w:val="00C930ED"/>
    <w:rsid w:val="00CC237B"/>
    <w:rsid w:val="00CD3C53"/>
    <w:rsid w:val="00CD4509"/>
    <w:rsid w:val="00D204AA"/>
    <w:rsid w:val="00D25029"/>
    <w:rsid w:val="00E31923"/>
    <w:rsid w:val="00F53173"/>
    <w:rsid w:val="00F81C85"/>
    <w:rsid w:val="00F862DC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CCE3"/>
  <w15:chartTrackingRefBased/>
  <w15:docId w15:val="{06AF65C3-C018-40C1-8F11-FA69D357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365"/>
    <w:pPr>
      <w:widowControl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4"/>
      <w:lang w:eastAsia="cs-CZ"/>
    </w:rPr>
  </w:style>
  <w:style w:type="paragraph" w:styleId="Nadpis1">
    <w:name w:val="heading 1"/>
    <w:basedOn w:val="Heading"/>
    <w:next w:val="Zkladntext"/>
    <w:link w:val="Nadpis1Char"/>
    <w:uiPriority w:val="99"/>
    <w:qFormat/>
    <w:rsid w:val="00331365"/>
    <w:pPr>
      <w:ind w:left="720" w:hanging="360"/>
      <w:outlineLvl w:val="0"/>
    </w:pPr>
    <w:rPr>
      <w:b/>
      <w:bCs/>
      <w:sz w:val="23"/>
      <w:szCs w:val="32"/>
    </w:rPr>
  </w:style>
  <w:style w:type="paragraph" w:styleId="Nadpis2">
    <w:name w:val="heading 2"/>
    <w:basedOn w:val="Heading"/>
    <w:next w:val="Zkladntext"/>
    <w:link w:val="Nadpis2Char"/>
    <w:uiPriority w:val="99"/>
    <w:qFormat/>
    <w:rsid w:val="00331365"/>
    <w:pPr>
      <w:ind w:left="1080" w:hanging="360"/>
      <w:outlineLvl w:val="1"/>
    </w:pPr>
    <w:rPr>
      <w:b/>
      <w:bCs/>
      <w:i/>
      <w:iCs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136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31365"/>
    <w:rPr>
      <w:rFonts w:ascii="Tahoma" w:eastAsia="Times New Roman" w:hAnsi="Tahoma" w:cs="Tahoma"/>
      <w:b/>
      <w:bCs/>
      <w:sz w:val="23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331365"/>
    <w:rPr>
      <w:rFonts w:ascii="Tahoma" w:eastAsia="Times New Roman" w:hAnsi="Tahoma" w:cs="Tahoma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31365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rsid w:val="0033136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31365"/>
    <w:rPr>
      <w:rFonts w:ascii="Tahoma" w:eastAsia="Times New Roman" w:hAnsi="Tahoma" w:cs="Tahoma"/>
      <w:sz w:val="20"/>
      <w:szCs w:val="24"/>
      <w:lang w:eastAsia="cs-CZ"/>
    </w:rPr>
  </w:style>
  <w:style w:type="paragraph" w:customStyle="1" w:styleId="Heading">
    <w:name w:val="Heading"/>
    <w:basedOn w:val="Normln"/>
    <w:next w:val="Zkladntext"/>
    <w:uiPriority w:val="99"/>
    <w:rsid w:val="00331365"/>
    <w:pPr>
      <w:keepNext/>
      <w:spacing w:before="240" w:after="120"/>
    </w:pPr>
    <w:rPr>
      <w:szCs w:val="28"/>
    </w:rPr>
  </w:style>
  <w:style w:type="paragraph" w:styleId="Seznam">
    <w:name w:val="List"/>
    <w:basedOn w:val="Zkladntext"/>
    <w:uiPriority w:val="99"/>
    <w:rsid w:val="00331365"/>
    <w:rPr>
      <w:sz w:val="24"/>
    </w:rPr>
  </w:style>
  <w:style w:type="paragraph" w:styleId="Zhlav">
    <w:name w:val="header"/>
    <w:aliases w:val="Objekt"/>
    <w:basedOn w:val="Normln"/>
    <w:link w:val="ZhlavChar"/>
    <w:uiPriority w:val="99"/>
    <w:rsid w:val="00331365"/>
    <w:pPr>
      <w:tabs>
        <w:tab w:val="center" w:pos="4818"/>
        <w:tab w:val="right" w:pos="9637"/>
      </w:tabs>
    </w:pPr>
  </w:style>
  <w:style w:type="character" w:customStyle="1" w:styleId="ZhlavChar">
    <w:name w:val="Záhlaví Char"/>
    <w:aliases w:val="Objekt Char"/>
    <w:basedOn w:val="Standardnpsmoodstavce"/>
    <w:link w:val="Zhlav"/>
    <w:uiPriority w:val="99"/>
    <w:rsid w:val="00331365"/>
    <w:rPr>
      <w:rFonts w:ascii="Tahoma" w:eastAsia="Times New Roman" w:hAnsi="Tahoma" w:cs="Tahoma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31365"/>
    <w:pPr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1365"/>
    <w:rPr>
      <w:rFonts w:ascii="Tahoma" w:eastAsia="Times New Roman" w:hAnsi="Tahoma" w:cs="Tahoma"/>
      <w:sz w:val="20"/>
      <w:szCs w:val="24"/>
      <w:lang w:eastAsia="cs-CZ"/>
    </w:rPr>
  </w:style>
  <w:style w:type="paragraph" w:styleId="Titulek">
    <w:name w:val="caption"/>
    <w:basedOn w:val="Normln"/>
    <w:uiPriority w:val="99"/>
    <w:qFormat/>
    <w:rsid w:val="00331365"/>
    <w:pPr>
      <w:spacing w:before="120" w:after="120"/>
    </w:pPr>
    <w:rPr>
      <w:i/>
      <w:iCs/>
      <w:sz w:val="24"/>
    </w:rPr>
  </w:style>
  <w:style w:type="paragraph" w:customStyle="1" w:styleId="Framecontents">
    <w:name w:val="Frame contents"/>
    <w:basedOn w:val="Zkladntext"/>
    <w:uiPriority w:val="99"/>
    <w:rsid w:val="00331365"/>
  </w:style>
  <w:style w:type="paragraph" w:customStyle="1" w:styleId="Index">
    <w:name w:val="Index"/>
    <w:basedOn w:val="Normln"/>
    <w:uiPriority w:val="99"/>
    <w:rsid w:val="00331365"/>
    <w:rPr>
      <w:sz w:val="24"/>
    </w:rPr>
  </w:style>
  <w:style w:type="paragraph" w:customStyle="1" w:styleId="ContentsHeading">
    <w:name w:val="Contents Heading"/>
    <w:basedOn w:val="Heading"/>
    <w:uiPriority w:val="99"/>
    <w:rsid w:val="00331365"/>
    <w:rPr>
      <w:b/>
      <w:bCs/>
      <w:sz w:val="32"/>
      <w:szCs w:val="32"/>
    </w:rPr>
  </w:style>
  <w:style w:type="paragraph" w:styleId="Obsah1">
    <w:name w:val="toc 1"/>
    <w:basedOn w:val="Normln"/>
    <w:next w:val="Normln"/>
    <w:uiPriority w:val="99"/>
    <w:rsid w:val="00331365"/>
    <w:pPr>
      <w:tabs>
        <w:tab w:val="left" w:pos="540"/>
        <w:tab w:val="right" w:leader="dot" w:pos="9399"/>
      </w:tabs>
      <w:jc w:val="both"/>
    </w:pPr>
  </w:style>
  <w:style w:type="paragraph" w:styleId="Obsah2">
    <w:name w:val="toc 2"/>
    <w:basedOn w:val="Normln"/>
    <w:next w:val="Normln"/>
    <w:uiPriority w:val="99"/>
    <w:rsid w:val="00331365"/>
    <w:pPr>
      <w:tabs>
        <w:tab w:val="left" w:pos="900"/>
        <w:tab w:val="right" w:leader="dot" w:pos="9399"/>
      </w:tabs>
      <w:ind w:left="200"/>
    </w:pPr>
  </w:style>
  <w:style w:type="paragraph" w:styleId="Obsah3">
    <w:name w:val="toc 3"/>
    <w:basedOn w:val="Index"/>
    <w:uiPriority w:val="99"/>
    <w:rsid w:val="00331365"/>
    <w:pPr>
      <w:tabs>
        <w:tab w:val="right" w:leader="dot" w:pos="9637"/>
      </w:tabs>
      <w:ind w:left="566"/>
    </w:pPr>
  </w:style>
  <w:style w:type="paragraph" w:styleId="Obsah4">
    <w:name w:val="toc 4"/>
    <w:basedOn w:val="Index"/>
    <w:uiPriority w:val="99"/>
    <w:rsid w:val="00331365"/>
    <w:pPr>
      <w:tabs>
        <w:tab w:val="right" w:leader="dot" w:pos="9637"/>
      </w:tabs>
      <w:ind w:left="849"/>
    </w:pPr>
  </w:style>
  <w:style w:type="paragraph" w:styleId="Obsah5">
    <w:name w:val="toc 5"/>
    <w:basedOn w:val="Index"/>
    <w:uiPriority w:val="99"/>
    <w:rsid w:val="00331365"/>
    <w:pPr>
      <w:tabs>
        <w:tab w:val="right" w:leader="dot" w:pos="9637"/>
      </w:tabs>
      <w:ind w:left="1132"/>
    </w:pPr>
  </w:style>
  <w:style w:type="paragraph" w:styleId="Obsah6">
    <w:name w:val="toc 6"/>
    <w:basedOn w:val="Index"/>
    <w:uiPriority w:val="99"/>
    <w:rsid w:val="00331365"/>
    <w:pPr>
      <w:tabs>
        <w:tab w:val="right" w:leader="dot" w:pos="9637"/>
      </w:tabs>
      <w:ind w:left="1415"/>
    </w:pPr>
  </w:style>
  <w:style w:type="paragraph" w:styleId="Obsah7">
    <w:name w:val="toc 7"/>
    <w:basedOn w:val="Index"/>
    <w:uiPriority w:val="99"/>
    <w:rsid w:val="00331365"/>
    <w:pPr>
      <w:tabs>
        <w:tab w:val="right" w:leader="dot" w:pos="9637"/>
      </w:tabs>
      <w:ind w:left="1698"/>
    </w:pPr>
  </w:style>
  <w:style w:type="paragraph" w:styleId="Obsah8">
    <w:name w:val="toc 8"/>
    <w:basedOn w:val="Index"/>
    <w:uiPriority w:val="99"/>
    <w:rsid w:val="00331365"/>
    <w:pPr>
      <w:tabs>
        <w:tab w:val="right" w:leader="dot" w:pos="9637"/>
      </w:tabs>
      <w:ind w:left="1981"/>
    </w:pPr>
  </w:style>
  <w:style w:type="paragraph" w:styleId="Obsah9">
    <w:name w:val="toc 9"/>
    <w:basedOn w:val="Index"/>
    <w:uiPriority w:val="99"/>
    <w:rsid w:val="00331365"/>
    <w:pPr>
      <w:tabs>
        <w:tab w:val="right" w:leader="dot" w:pos="9637"/>
      </w:tabs>
      <w:ind w:left="2264"/>
    </w:pPr>
  </w:style>
  <w:style w:type="paragraph" w:customStyle="1" w:styleId="Contents10">
    <w:name w:val="Contents 10"/>
    <w:basedOn w:val="Index"/>
    <w:uiPriority w:val="99"/>
    <w:rsid w:val="00331365"/>
    <w:pPr>
      <w:tabs>
        <w:tab w:val="right" w:leader="dot" w:pos="9637"/>
      </w:tabs>
      <w:ind w:left="2547"/>
    </w:pPr>
  </w:style>
  <w:style w:type="paragraph" w:customStyle="1" w:styleId="HorizontalLine">
    <w:name w:val="Horizontal Line"/>
    <w:basedOn w:val="Normln"/>
    <w:next w:val="Zkladntext"/>
    <w:uiPriority w:val="99"/>
    <w:rsid w:val="00331365"/>
    <w:pPr>
      <w:pBdr>
        <w:bottom w:val="double" w:sz="6" w:space="0" w:color="808080"/>
      </w:pBdr>
      <w:spacing w:after="283"/>
    </w:pPr>
    <w:rPr>
      <w:sz w:val="12"/>
      <w:szCs w:val="12"/>
    </w:rPr>
  </w:style>
  <w:style w:type="character" w:customStyle="1" w:styleId="BulletSymbols">
    <w:name w:val="Bullet Symbols"/>
    <w:uiPriority w:val="99"/>
    <w:rsid w:val="00331365"/>
    <w:rPr>
      <w:rFonts w:ascii="StarSymbol" w:eastAsia="Times New Roman" w:hAnsi="StarSymbol" w:cs="StarSymbo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1365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365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33136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31365"/>
    <w:pPr>
      <w:widowControl/>
      <w:autoSpaceDN/>
      <w:adjustRightInd/>
      <w:spacing w:before="100" w:beforeAutospacing="1" w:after="119"/>
    </w:pPr>
    <w:rPr>
      <w:rFonts w:ascii="Times New Roman" w:hAnsi="Times New Roman" w:cs="Times New Roman"/>
      <w:sz w:val="24"/>
    </w:rPr>
  </w:style>
  <w:style w:type="character" w:customStyle="1" w:styleId="skypetbinnertext">
    <w:name w:val="skype_tb_innertext"/>
    <w:basedOn w:val="Standardnpsmoodstavce"/>
    <w:rsid w:val="00331365"/>
  </w:style>
  <w:style w:type="paragraph" w:styleId="Bezmezer">
    <w:name w:val="No Spacing"/>
    <w:uiPriority w:val="1"/>
    <w:qFormat/>
    <w:rsid w:val="00331365"/>
    <w:pPr>
      <w:widowControl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4"/>
      <w:lang w:eastAsia="cs-CZ"/>
    </w:rPr>
  </w:style>
  <w:style w:type="character" w:customStyle="1" w:styleId="platne">
    <w:name w:val="platne"/>
    <w:basedOn w:val="Standardnpsmoodstavce"/>
    <w:rsid w:val="00331365"/>
  </w:style>
  <w:style w:type="paragraph" w:styleId="Odstavecseseznamem">
    <w:name w:val="List Paragraph"/>
    <w:basedOn w:val="Normln"/>
    <w:uiPriority w:val="34"/>
    <w:qFormat/>
    <w:rsid w:val="00331365"/>
    <w:pPr>
      <w:ind w:left="708"/>
    </w:pPr>
  </w:style>
  <w:style w:type="paragraph" w:customStyle="1" w:styleId="JAHODA">
    <w:name w:val="JAHODA"/>
    <w:basedOn w:val="Normln"/>
    <w:rsid w:val="00331365"/>
    <w:pPr>
      <w:widowControl/>
      <w:numPr>
        <w:numId w:val="10"/>
      </w:numPr>
      <w:autoSpaceDN/>
      <w:adjustRightInd/>
    </w:pPr>
    <w:rPr>
      <w:rFonts w:ascii="Times New Roman" w:hAnsi="Times New Roman" w:cs="Times New Roman"/>
      <w:sz w:val="24"/>
    </w:rPr>
  </w:style>
  <w:style w:type="character" w:customStyle="1" w:styleId="STPZvraznn">
    <w:name w:val="STP_Zvýraznění"/>
    <w:rsid w:val="00331365"/>
    <w:rPr>
      <w:b/>
      <w:sz w:val="24"/>
    </w:rPr>
  </w:style>
  <w:style w:type="paragraph" w:customStyle="1" w:styleId="Default">
    <w:name w:val="Default"/>
    <w:rsid w:val="003313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stavecbezodsazen">
    <w:name w:val="odstavec bez odsazení"/>
    <w:basedOn w:val="Normln"/>
    <w:link w:val="odstavecbezodsazenChar"/>
    <w:rsid w:val="00331365"/>
    <w:pPr>
      <w:widowControl/>
      <w:autoSpaceDN/>
      <w:adjustRightInd/>
      <w:spacing w:line="288" w:lineRule="auto"/>
      <w:jc w:val="both"/>
    </w:pPr>
    <w:rPr>
      <w:rFonts w:ascii="Verdana" w:hAnsi="Verdana" w:cs="Times New Roman"/>
      <w:spacing w:val="4"/>
      <w:szCs w:val="20"/>
    </w:rPr>
  </w:style>
  <w:style w:type="character" w:customStyle="1" w:styleId="odstavecbezodsazenChar">
    <w:name w:val="odstavec bez odsazení Char"/>
    <w:link w:val="odstavecbezodsazen"/>
    <w:rsid w:val="00331365"/>
    <w:rPr>
      <w:rFonts w:ascii="Verdana" w:eastAsia="Times New Roman" w:hAnsi="Verdana" w:cs="Times New Roman"/>
      <w:spacing w:val="4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331365"/>
    <w:pPr>
      <w:widowControl/>
      <w:tabs>
        <w:tab w:val="left" w:pos="1065"/>
      </w:tabs>
      <w:overflowPunct w:val="0"/>
      <w:autoSpaceDE w:val="0"/>
      <w:spacing w:line="300" w:lineRule="exact"/>
      <w:ind w:firstLine="705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table" w:styleId="Mkatabulky">
    <w:name w:val="Table Grid"/>
    <w:basedOn w:val="Normlntabulka"/>
    <w:uiPriority w:val="59"/>
    <w:rsid w:val="003313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331365"/>
    <w:pPr>
      <w:tabs>
        <w:tab w:val="left" w:pos="720"/>
      </w:tabs>
      <w:suppressAutoHyphens/>
      <w:autoSpaceDN/>
      <w:adjustRightInd/>
      <w:jc w:val="both"/>
    </w:pPr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5</Pages>
  <Words>1347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Jelínková</dc:creator>
  <cp:keywords/>
  <dc:description/>
  <cp:lastModifiedBy>Lenka Jelínková</cp:lastModifiedBy>
  <cp:revision>13</cp:revision>
  <dcterms:created xsi:type="dcterms:W3CDTF">2022-05-25T08:03:00Z</dcterms:created>
  <dcterms:modified xsi:type="dcterms:W3CDTF">2022-06-24T08:33:00Z</dcterms:modified>
</cp:coreProperties>
</file>